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0350" w14:textId="77777777" w:rsidR="00D117D7" w:rsidRPr="002A6DAB" w:rsidRDefault="00D117D7" w:rsidP="007361E2">
      <w:bookmarkStart w:id="0" w:name="_GoBack"/>
      <w:bookmarkEnd w:id="0"/>
    </w:p>
    <w:p w14:paraId="11FA0351" w14:textId="1FA2AB02" w:rsidR="008F1F09" w:rsidRPr="00836811" w:rsidRDefault="00836811" w:rsidP="00836811">
      <w:pPr>
        <w:pStyle w:val="Ttulo2"/>
      </w:pPr>
      <w:r w:rsidRPr="00836811">
        <w:t>SÍNTESIS</w:t>
      </w:r>
    </w:p>
    <w:p w14:paraId="11FA0352" w14:textId="0F4B040F" w:rsidR="008F1F09" w:rsidRPr="002A6DAB" w:rsidRDefault="008F1F09" w:rsidP="008F1F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A6D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Reglamento (UE) 2021/241 del Parlamento Europeo y del Consejo de 12 de febrero de 2021 por el que se establece el Mecanismo de Recuperación y Resiliencia</w:t>
      </w:r>
      <w:r w:rsidR="0068404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(DUE 18 de febrero)</w:t>
      </w:r>
    </w:p>
    <w:p w14:paraId="11FA0353" w14:textId="77777777" w:rsidR="008F1F09" w:rsidRPr="002A6DAB" w:rsidRDefault="008F1F09" w:rsidP="008F1F09">
      <w:pPr>
        <w:jc w:val="both"/>
      </w:pPr>
    </w:p>
    <w:p w14:paraId="11FA0358" w14:textId="77777777" w:rsidR="006818BC" w:rsidRPr="002A6DAB" w:rsidRDefault="00153412" w:rsidP="00581062">
      <w:pPr>
        <w:jc w:val="both"/>
      </w:pPr>
      <w:r w:rsidRPr="002A6DAB">
        <w:t xml:space="preserve">En el marco de sus objetivos estratégicos, el MRR tiene </w:t>
      </w:r>
      <w:r w:rsidRPr="002A6DAB">
        <w:rPr>
          <w:b/>
          <w:bCs/>
        </w:rPr>
        <w:t>un objetivo es</w:t>
      </w:r>
      <w:r w:rsidR="006818BC" w:rsidRPr="002A6DAB">
        <w:rPr>
          <w:b/>
          <w:bCs/>
        </w:rPr>
        <w:t>pecífico</w:t>
      </w:r>
      <w:r w:rsidRPr="002A6DAB">
        <w:t xml:space="preserve">: </w:t>
      </w:r>
      <w:r w:rsidRPr="002A6DAB">
        <w:rPr>
          <w:b/>
          <w:bCs/>
        </w:rPr>
        <w:t>proporcionar a los Estados Miembros (EEMM) ayuda financiera</w:t>
      </w:r>
      <w:r w:rsidRPr="002A6DAB">
        <w:t xml:space="preserve"> para que alcancen los hitos y objetivos de</w:t>
      </w:r>
      <w:r w:rsidR="00624AC3" w:rsidRPr="002A6DAB">
        <w:t xml:space="preserve"> </w:t>
      </w:r>
      <w:r w:rsidRPr="002A6DAB">
        <w:t>las reformas e inversiones de sus planes de recuperación y resiliencia</w:t>
      </w:r>
      <w:r w:rsidR="00C378D6" w:rsidRPr="002A6DAB">
        <w:t xml:space="preserve">. </w:t>
      </w:r>
      <w:r w:rsidR="00581062" w:rsidRPr="002A6DAB">
        <w:rPr>
          <w:b/>
          <w:bCs/>
        </w:rPr>
        <w:t xml:space="preserve">El presupuesto del MRR se estructura en </w:t>
      </w:r>
      <w:r w:rsidR="006818BC" w:rsidRPr="002A6DAB">
        <w:t>312.500 millones de euros, en ayudas no reembolsables</w:t>
      </w:r>
      <w:r w:rsidR="00581062" w:rsidRPr="002A6DAB">
        <w:t xml:space="preserve"> y </w:t>
      </w:r>
      <w:r w:rsidR="006818BC" w:rsidRPr="002A6DAB">
        <w:t>360.000 millones de euros, en préstamos a los EEMM</w:t>
      </w:r>
      <w:r w:rsidR="00581062" w:rsidRPr="002A6DAB">
        <w:t>.</w:t>
      </w:r>
    </w:p>
    <w:p w14:paraId="11FA0359" w14:textId="77777777" w:rsidR="006818BC" w:rsidRPr="002A6DAB" w:rsidRDefault="006818BC" w:rsidP="006818BC">
      <w:pPr>
        <w:pStyle w:val="Prrafodelista"/>
        <w:ind w:left="0"/>
        <w:jc w:val="both"/>
      </w:pPr>
    </w:p>
    <w:p w14:paraId="11FA035A" w14:textId="77777777" w:rsidR="003A0E49" w:rsidRPr="002A6DAB" w:rsidRDefault="00581062" w:rsidP="00EB35A1">
      <w:pPr>
        <w:pStyle w:val="Prrafodelista"/>
        <w:ind w:left="0"/>
        <w:jc w:val="both"/>
      </w:pPr>
      <w:r w:rsidRPr="002A6DAB">
        <w:t xml:space="preserve">Respecto al período de ejecución, cabe señalar que </w:t>
      </w:r>
      <w:r w:rsidR="00EB35A1" w:rsidRPr="002A6DAB">
        <w:rPr>
          <w:b/>
          <w:bCs/>
        </w:rPr>
        <w:t>s</w:t>
      </w:r>
      <w:r w:rsidR="003A0E49" w:rsidRPr="002A6DAB">
        <w:rPr>
          <w:b/>
          <w:bCs/>
        </w:rPr>
        <w:t>erán subvencionables las medidas iniciadas</w:t>
      </w:r>
      <w:r w:rsidR="003A0E49" w:rsidRPr="002A6DAB">
        <w:t xml:space="preserve"> </w:t>
      </w:r>
      <w:r w:rsidR="003A0E49" w:rsidRPr="002A6DAB">
        <w:rPr>
          <w:b/>
          <w:bCs/>
        </w:rPr>
        <w:t>a partir del 1 de febrero de 2020</w:t>
      </w:r>
      <w:r w:rsidR="00EB35A1" w:rsidRPr="002A6DAB">
        <w:t>, siempre teniendo en cuenta que l</w:t>
      </w:r>
      <w:r w:rsidR="003A0E49" w:rsidRPr="002A6DAB">
        <w:t>as reformas e inversiones deberán estar finalizadas como muy tarde el 31 de agosto de 2026</w:t>
      </w:r>
      <w:r w:rsidR="00EB35A1" w:rsidRPr="002A6DAB">
        <w:t>; y que l</w:t>
      </w:r>
      <w:r w:rsidR="003A0E49" w:rsidRPr="002A6DAB">
        <w:t>os pagos podrán realizarse hasta el 31 de diciembre de 2026.</w:t>
      </w:r>
    </w:p>
    <w:p w14:paraId="11FA035B" w14:textId="77777777" w:rsidR="00F37E65" w:rsidRPr="002A6DAB" w:rsidRDefault="00F37E65" w:rsidP="00F37E65"/>
    <w:p w14:paraId="11FA035C" w14:textId="77777777" w:rsidR="0036317B" w:rsidRPr="006B2A16" w:rsidRDefault="00EB35A1" w:rsidP="002A6DAB">
      <w:pPr>
        <w:jc w:val="both"/>
        <w:rPr>
          <w:b/>
          <w:bCs/>
        </w:rPr>
      </w:pPr>
      <w:r w:rsidRPr="002A6DAB">
        <w:t>En el propio Reglamento se establece la c</w:t>
      </w:r>
      <w:r w:rsidR="00F37E65" w:rsidRPr="002A6DAB">
        <w:t>ontribución financiera máxima</w:t>
      </w:r>
      <w:r w:rsidRPr="002A6DAB">
        <w:t xml:space="preserve"> </w:t>
      </w:r>
      <w:r w:rsidRPr="00836811">
        <w:t>inicial</w:t>
      </w:r>
      <w:r w:rsidR="00382B67" w:rsidRPr="00836811">
        <w:t xml:space="preserve"> en ayudas no reembolsables</w:t>
      </w:r>
      <w:r w:rsidRPr="00836811">
        <w:t>, fijándola</w:t>
      </w:r>
      <w:r w:rsidRPr="002A6DAB">
        <w:t xml:space="preserve"> para </w:t>
      </w:r>
      <w:r w:rsidR="00F37E65" w:rsidRPr="002A6DAB">
        <w:t>España en casi 70.000 millones de euros</w:t>
      </w:r>
      <w:r w:rsidRPr="002A6DAB">
        <w:t>. No obstante, h</w:t>
      </w:r>
      <w:r w:rsidR="00F37E65" w:rsidRPr="002A6DAB">
        <w:t>ay que tener en cuenta que la misma se</w:t>
      </w:r>
      <w:r w:rsidR="00CE0A24" w:rsidRPr="002A6DAB">
        <w:t xml:space="preserve">rá objeto de actualización </w:t>
      </w:r>
      <w:r w:rsidR="00F37E65" w:rsidRPr="002A6DAB">
        <w:t>a más tardar el 30 de junio de 2022.</w:t>
      </w:r>
      <w:r w:rsidRPr="002A6DAB">
        <w:t xml:space="preserve"> </w:t>
      </w:r>
      <w:r w:rsidR="006B2A16" w:rsidRPr="00836811">
        <w:rPr>
          <w:b/>
          <w:bCs/>
        </w:rPr>
        <w:t>Las ayudas no reembolsables</w:t>
      </w:r>
      <w:r w:rsidR="00981719" w:rsidRPr="00836811">
        <w:rPr>
          <w:b/>
          <w:bCs/>
        </w:rPr>
        <w:t xml:space="preserve"> estarán</w:t>
      </w:r>
      <w:r w:rsidR="00981719" w:rsidRPr="002A6DAB">
        <w:rPr>
          <w:b/>
          <w:bCs/>
        </w:rPr>
        <w:t xml:space="preserve"> disponibles hasta el 31 de diciembre de 2023</w:t>
      </w:r>
      <w:r w:rsidR="00470911" w:rsidRPr="002A6DAB">
        <w:rPr>
          <w:b/>
          <w:bCs/>
        </w:rPr>
        <w:t xml:space="preserve">. </w:t>
      </w:r>
      <w:r w:rsidR="00470911" w:rsidRPr="002A6DAB">
        <w:t>En concreto, se fija un porcentaje del 70% hasta el 31 de diciembre de 2022, estando disponible el 30% restante desde el día siguiente hasta el 31 de diciembre de 2023</w:t>
      </w:r>
      <w:r w:rsidR="006B2A16">
        <w:t>.</w:t>
      </w:r>
    </w:p>
    <w:p w14:paraId="11FA035D" w14:textId="77777777" w:rsidR="00470911" w:rsidRPr="002A6DAB" w:rsidRDefault="00470911" w:rsidP="00470911">
      <w:pPr>
        <w:jc w:val="both"/>
      </w:pPr>
    </w:p>
    <w:p w14:paraId="11FA035E" w14:textId="4CB869A1" w:rsidR="00470911" w:rsidRPr="002A6DAB" w:rsidRDefault="00836811" w:rsidP="00470911">
      <w:pPr>
        <w:pStyle w:val="Textoindependiente2"/>
      </w:pPr>
      <w:r>
        <w:t>L</w:t>
      </w:r>
      <w:r w:rsidR="00470911" w:rsidRPr="002A6DAB">
        <w:t>os</w:t>
      </w:r>
      <w:r w:rsidR="00624AC3" w:rsidRPr="002A6DAB">
        <w:rPr>
          <w:b/>
          <w:bCs/>
        </w:rPr>
        <w:t xml:space="preserve"> Planes nacionales de RR</w:t>
      </w:r>
      <w:r w:rsidR="00470911" w:rsidRPr="002A6DAB">
        <w:rPr>
          <w:b/>
          <w:bCs/>
        </w:rPr>
        <w:t xml:space="preserve"> </w:t>
      </w:r>
      <w:r w:rsidR="00624AC3" w:rsidRPr="002A6DAB">
        <w:rPr>
          <w:b/>
          <w:bCs/>
        </w:rPr>
        <w:t>(PRR)</w:t>
      </w:r>
      <w:r w:rsidR="00470911" w:rsidRPr="002A6DAB">
        <w:rPr>
          <w:b/>
          <w:bCs/>
        </w:rPr>
        <w:t xml:space="preserve"> </w:t>
      </w:r>
      <w:r w:rsidR="00470911" w:rsidRPr="002A6DAB">
        <w:t xml:space="preserve">deben ser presentados por los </w:t>
      </w:r>
      <w:r w:rsidR="00624AC3" w:rsidRPr="002A6DAB">
        <w:t>EEMM antes del 30 de abril</w:t>
      </w:r>
      <w:r w:rsidR="00ED6BC6" w:rsidRPr="002A6DAB">
        <w:t>, junto con su programa nacional de reformas</w:t>
      </w:r>
      <w:r w:rsidR="00624AC3" w:rsidRPr="002A6DAB">
        <w:t xml:space="preserve">. </w:t>
      </w:r>
      <w:r w:rsidR="00ED6BC6" w:rsidRPr="002A6DAB">
        <w:t>En</w:t>
      </w:r>
      <w:r w:rsidR="00624AC3" w:rsidRPr="002A6DAB">
        <w:t xml:space="preserve"> España una primera versión del Plan España Puede fue presentada por el presidente del Gobierno el pasado 7 de octubre</w:t>
      </w:r>
      <w:r w:rsidR="00ED6BC6" w:rsidRPr="002A6DAB">
        <w:t>, estando pendiente de remisión la versión definitiva del mismo. La Comisión evaluará el plan, y el Consejo, a propuesta de la Comisión, aprobará su ejecución</w:t>
      </w:r>
      <w:r w:rsidR="00F64F13">
        <w:t>.</w:t>
      </w:r>
    </w:p>
    <w:p w14:paraId="11FA035F" w14:textId="77777777" w:rsidR="003A0E49" w:rsidRPr="002A6DAB" w:rsidRDefault="003A0E49" w:rsidP="003A0E49">
      <w:pPr>
        <w:pStyle w:val="Prrafodelista"/>
      </w:pPr>
    </w:p>
    <w:p w14:paraId="11FA0360" w14:textId="77777777" w:rsidR="00156041" w:rsidRPr="002A6DAB" w:rsidRDefault="00ED6BC6" w:rsidP="00156041">
      <w:pPr>
        <w:jc w:val="both"/>
      </w:pPr>
      <w:r w:rsidRPr="002A6DAB">
        <w:t xml:space="preserve">La ayuda concedida </w:t>
      </w:r>
      <w:r w:rsidR="00156041" w:rsidRPr="002A6DAB">
        <w:t xml:space="preserve">por el MRR </w:t>
      </w:r>
      <w:r w:rsidRPr="002A6DAB">
        <w:rPr>
          <w:b/>
          <w:bCs/>
        </w:rPr>
        <w:t>se sumará a la proporcionada con arreglo a otros programas</w:t>
      </w:r>
      <w:r w:rsidRPr="002A6DAB">
        <w:t xml:space="preserve"> e instrumentos de la Unión </w:t>
      </w:r>
      <w:r w:rsidRPr="002A6DAB">
        <w:rPr>
          <w:b/>
          <w:bCs/>
        </w:rPr>
        <w:t>y no podrá cubrir los mismos costes.</w:t>
      </w:r>
    </w:p>
    <w:p w14:paraId="11FA0361" w14:textId="77777777" w:rsidR="00ED6BC6" w:rsidRPr="002A6DAB" w:rsidRDefault="00ED6BC6" w:rsidP="00ED6BC6">
      <w:pPr>
        <w:pStyle w:val="Textoindependiente2"/>
      </w:pPr>
    </w:p>
    <w:p w14:paraId="11FA0362" w14:textId="77777777" w:rsidR="00346489" w:rsidRPr="002A6DAB" w:rsidRDefault="00ED6BC6" w:rsidP="00346489">
      <w:pPr>
        <w:pStyle w:val="Textoindependiente2"/>
        <w:rPr>
          <w:b/>
          <w:bCs/>
        </w:rPr>
      </w:pPr>
      <w:r w:rsidRPr="002A6DAB">
        <w:t xml:space="preserve">Los EEMM </w:t>
      </w:r>
      <w:r w:rsidRPr="002A6DAB">
        <w:rPr>
          <w:b/>
          <w:bCs/>
        </w:rPr>
        <w:t>deben informar dos veces al año</w:t>
      </w:r>
      <w:r w:rsidR="00346489" w:rsidRPr="002A6DAB">
        <w:t xml:space="preserve"> </w:t>
      </w:r>
      <w:r w:rsidRPr="002A6DAB">
        <w:t>sobre los avances realizados en la ejecución de su plan.</w:t>
      </w:r>
      <w:r w:rsidR="008E095C" w:rsidRPr="002A6DAB">
        <w:t xml:space="preserve"> </w:t>
      </w:r>
      <w:r w:rsidRPr="002A6DAB">
        <w:t xml:space="preserve">El logro de resultados para la concesión de la financiación se mide por el cumplimento de hitos y objetivos medidos en indicadores. </w:t>
      </w:r>
      <w:r w:rsidRPr="002A6DAB">
        <w:rPr>
          <w:b/>
          <w:bCs/>
        </w:rPr>
        <w:t>Una vez alcanzados estos indicadores</w:t>
      </w:r>
      <w:r w:rsidRPr="002A6DAB">
        <w:t xml:space="preserve">, los EE.MM </w:t>
      </w:r>
      <w:r w:rsidRPr="002A6DAB">
        <w:rPr>
          <w:b/>
          <w:bCs/>
        </w:rPr>
        <w:t>deberán presentar a la Comisión una solicitud de pago</w:t>
      </w:r>
      <w:r w:rsidRPr="002A6DAB">
        <w:t xml:space="preserve"> de la contribución financiera y, cuando</w:t>
      </w:r>
      <w:r w:rsidR="00346489" w:rsidRPr="002A6DAB">
        <w:t xml:space="preserve"> proceda, del préstamo. Los EE MM podrán presentar a la Comisión </w:t>
      </w:r>
      <w:r w:rsidR="00346489" w:rsidRPr="002A6DAB">
        <w:rPr>
          <w:b/>
          <w:bCs/>
        </w:rPr>
        <w:t>dichas solicitudes de pago 2 veces al año.</w:t>
      </w:r>
    </w:p>
    <w:p w14:paraId="11FA0363" w14:textId="77777777" w:rsidR="00CE0A24" w:rsidRPr="002A6DAB" w:rsidRDefault="00CE0A24" w:rsidP="00346489">
      <w:pPr>
        <w:widowControl w:val="0"/>
        <w:tabs>
          <w:tab w:val="left" w:pos="462"/>
        </w:tabs>
        <w:autoSpaceDE w:val="0"/>
        <w:autoSpaceDN w:val="0"/>
        <w:spacing w:line="379" w:lineRule="auto"/>
        <w:ind w:right="1520"/>
        <w:jc w:val="both"/>
        <w:rPr>
          <w:b/>
          <w:bCs/>
        </w:rPr>
      </w:pPr>
    </w:p>
    <w:p w14:paraId="11FA0364" w14:textId="77777777" w:rsidR="00346489" w:rsidRPr="002A6DAB" w:rsidRDefault="004359E1" w:rsidP="00D54F5D">
      <w:pPr>
        <w:pStyle w:val="Textoindependiente2"/>
      </w:pPr>
      <w:r w:rsidRPr="002A6DAB">
        <w:t>Por otra parte, es importante señalar que l</w:t>
      </w:r>
      <w:r w:rsidR="00346489" w:rsidRPr="002A6DAB">
        <w:t xml:space="preserve">os recursos asignados a los Estados miembros en régimen de gestión compartida </w:t>
      </w:r>
      <w:r w:rsidR="00346489" w:rsidRPr="002A6DAB">
        <w:rPr>
          <w:b/>
          <w:bCs/>
        </w:rPr>
        <w:t>podrán ser transferidos al MRR en las condiciones establecidas en el Reglamento sobre disposiciones comunes 2021-2027</w:t>
      </w:r>
      <w:r w:rsidR="00346489" w:rsidRPr="002A6DAB">
        <w:t>. La Comisión ejecutará esos recursos directamente y serán utilizados exclusivamente en beneficio del Estado miembro de que se trate.</w:t>
      </w:r>
    </w:p>
    <w:p w14:paraId="11FA0365" w14:textId="77777777" w:rsidR="00CB44C0" w:rsidRPr="002A6DAB" w:rsidRDefault="00CB44C0" w:rsidP="00D54F5D">
      <w:pPr>
        <w:pStyle w:val="Textoindependiente2"/>
      </w:pPr>
    </w:p>
    <w:p w14:paraId="11FA0366" w14:textId="77777777" w:rsidR="004359E1" w:rsidRPr="002A6DAB" w:rsidRDefault="004359E1" w:rsidP="00CB44C0">
      <w:pPr>
        <w:pStyle w:val="Textoindependiente2"/>
      </w:pPr>
      <w:r w:rsidRPr="002A6DAB">
        <w:t xml:space="preserve">Con relación a los </w:t>
      </w:r>
      <w:r w:rsidRPr="002A6DAB">
        <w:rPr>
          <w:b/>
          <w:bCs/>
        </w:rPr>
        <w:t>gastos</w:t>
      </w:r>
      <w:r w:rsidRPr="002A6DAB">
        <w:t xml:space="preserve"> </w:t>
      </w:r>
      <w:r w:rsidR="00346489" w:rsidRPr="002A6DAB">
        <w:rPr>
          <w:b/>
          <w:bCs/>
        </w:rPr>
        <w:t>elegibles</w:t>
      </w:r>
      <w:r w:rsidRPr="002A6DAB">
        <w:rPr>
          <w:b/>
          <w:bCs/>
        </w:rPr>
        <w:t xml:space="preserve">, </w:t>
      </w:r>
      <w:r w:rsidRPr="002A6DAB">
        <w:t xml:space="preserve">el </w:t>
      </w:r>
      <w:r w:rsidR="00346489" w:rsidRPr="002A6DAB">
        <w:t xml:space="preserve">MRR podrá cubrir los gastos correspondientes </w:t>
      </w:r>
      <w:r w:rsidR="00346489" w:rsidRPr="002A6DAB">
        <w:rPr>
          <w:b/>
          <w:bCs/>
        </w:rPr>
        <w:t xml:space="preserve">a actividades de preparación, seguimiento, control, auditoría y evaluación que se requieran para la gestión </w:t>
      </w:r>
      <w:r w:rsidR="00346489" w:rsidRPr="002A6DAB">
        <w:t>del M</w:t>
      </w:r>
      <w:r w:rsidRPr="002A6DAB">
        <w:t>RR</w:t>
      </w:r>
      <w:r w:rsidR="00346489" w:rsidRPr="002A6DAB">
        <w:t xml:space="preserve"> y la consecución de sus objetivos</w:t>
      </w:r>
      <w:r w:rsidRPr="002A6DAB">
        <w:t>.</w:t>
      </w:r>
      <w:r w:rsidR="00346489" w:rsidRPr="002A6DAB">
        <w:t xml:space="preserve"> </w:t>
      </w:r>
    </w:p>
    <w:p w14:paraId="11FA0367" w14:textId="77777777" w:rsidR="0038477F" w:rsidRPr="002A6DAB" w:rsidRDefault="0038477F" w:rsidP="00CB44C0">
      <w:pPr>
        <w:pStyle w:val="Textoindependiente2"/>
      </w:pPr>
    </w:p>
    <w:p w14:paraId="11FA0368" w14:textId="77777777" w:rsidR="00346489" w:rsidRPr="002A6DAB" w:rsidRDefault="0038477F" w:rsidP="0038477F">
      <w:pPr>
        <w:pStyle w:val="Textoindependiente2"/>
      </w:pPr>
      <w:r w:rsidRPr="002A6DAB">
        <w:t xml:space="preserve">Asimismo, </w:t>
      </w:r>
      <w:r w:rsidRPr="002A6DAB">
        <w:rPr>
          <w:b/>
          <w:bCs/>
        </w:rPr>
        <w:t>l</w:t>
      </w:r>
      <w:r w:rsidR="00346489" w:rsidRPr="002A6DAB">
        <w:rPr>
          <w:b/>
          <w:bCs/>
        </w:rPr>
        <w:t>os perceptores de fondos harán mención del origen de esta financiación y velarán por darle visibilidad</w:t>
      </w:r>
      <w:r w:rsidR="00346489" w:rsidRPr="002A6DAB">
        <w:t xml:space="preserve">, incluido, cuando proceda, mediante el emblema de la Unión y una declaración de financiación adecuada que indique </w:t>
      </w:r>
      <w:r w:rsidR="00346489" w:rsidRPr="002A6DAB">
        <w:rPr>
          <w:b/>
          <w:bCs/>
        </w:rPr>
        <w:t>«financiado por la Unión Europea Next</w:t>
      </w:r>
      <w:r w:rsidR="00F64F13">
        <w:rPr>
          <w:b/>
          <w:bCs/>
        </w:rPr>
        <w:t xml:space="preserve"> </w:t>
      </w:r>
      <w:r w:rsidR="00346489" w:rsidRPr="002A6DAB">
        <w:rPr>
          <w:b/>
          <w:bCs/>
        </w:rPr>
        <w:t>Generation</w:t>
      </w:r>
      <w:r w:rsidR="00F64F13">
        <w:rPr>
          <w:b/>
          <w:bCs/>
        </w:rPr>
        <w:t xml:space="preserve"> </w:t>
      </w:r>
      <w:r w:rsidR="00346489" w:rsidRPr="002A6DAB">
        <w:rPr>
          <w:b/>
          <w:bCs/>
        </w:rPr>
        <w:t>EU»,</w:t>
      </w:r>
      <w:r w:rsidR="00346489" w:rsidRPr="002A6DAB">
        <w:t xml:space="preserve"> en particular cuando promuevan las acciones y sus resultados, facilitando información coherente, efectiva y proporcionada dirigida a múltiples destinatarios, incluidos  los medios de comunicación y el público.</w:t>
      </w:r>
    </w:p>
    <w:p w14:paraId="11FA0369" w14:textId="77777777" w:rsidR="0038477F" w:rsidRPr="002A6DAB" w:rsidRDefault="0038477F" w:rsidP="0038477F">
      <w:pPr>
        <w:pStyle w:val="Textoindependiente2"/>
      </w:pPr>
    </w:p>
    <w:p w14:paraId="11FA036A" w14:textId="77777777" w:rsidR="00346489" w:rsidRPr="002A6DAB" w:rsidRDefault="0038477F" w:rsidP="002A6DAB">
      <w:pPr>
        <w:pStyle w:val="Textoindependiente2"/>
      </w:pPr>
      <w:r w:rsidRPr="002A6DAB">
        <w:t xml:space="preserve">Por último, el Reglamento incluye una serie de disposiciones relativas a la </w:t>
      </w:r>
      <w:r w:rsidR="00346489" w:rsidRPr="002A6DAB">
        <w:rPr>
          <w:b/>
          <w:bCs/>
        </w:rPr>
        <w:t>prevención del fraude, la corrupción y los conflictos de interés</w:t>
      </w:r>
      <w:r w:rsidR="002A6DAB" w:rsidRPr="002A6DAB">
        <w:rPr>
          <w:b/>
          <w:bCs/>
        </w:rPr>
        <w:t xml:space="preserve">, </w:t>
      </w:r>
      <w:r w:rsidR="002A6DAB" w:rsidRPr="002A6DAB">
        <w:t xml:space="preserve">incidiendo </w:t>
      </w:r>
      <w:r w:rsidR="00346489" w:rsidRPr="002A6DAB">
        <w:t>mucho en esta idea</w:t>
      </w:r>
      <w:r w:rsidR="002A6DAB" w:rsidRPr="002A6DAB">
        <w:t>. En este sentido, e</w:t>
      </w:r>
      <w:r w:rsidR="00346489" w:rsidRPr="002A6DAB">
        <w:t>l considerando 40 establece el “</w:t>
      </w:r>
      <w:r w:rsidR="00346489" w:rsidRPr="002A6DAB">
        <w:rPr>
          <w:b/>
          <w:bCs/>
        </w:rPr>
        <w:t>principio de buena gestión financiera”,</w:t>
      </w:r>
      <w:r w:rsidR="00346489" w:rsidRPr="002A6DAB">
        <w:t xml:space="preserve"> haciendo mención </w:t>
      </w:r>
      <w:proofErr w:type="gramStart"/>
      <w:r w:rsidR="00346489" w:rsidRPr="002A6DAB">
        <w:t>a</w:t>
      </w:r>
      <w:proofErr w:type="gramEnd"/>
      <w:r w:rsidR="00346489" w:rsidRPr="002A6DAB">
        <w:t xml:space="preserve"> la necesidad de prevenir y corregir </w:t>
      </w:r>
      <w:r w:rsidR="002A6DAB" w:rsidRPr="002A6DAB">
        <w:t>fraude fiscal, la corrupción y los conflictos de</w:t>
      </w:r>
      <w:r w:rsidR="002A6DAB">
        <w:t xml:space="preserve"> intereses</w:t>
      </w:r>
      <w:r w:rsidR="00346489" w:rsidRPr="002A6DAB">
        <w:t>.</w:t>
      </w:r>
      <w:r w:rsidR="002A6DAB" w:rsidRPr="002A6DAB">
        <w:t xml:space="preserve"> Así, d</w:t>
      </w:r>
      <w:r w:rsidR="00346489" w:rsidRPr="002A6DAB">
        <w:t>entro de la valoración de la eficiencia del Plan de recuperación</w:t>
      </w:r>
      <w:r w:rsidR="002A6DAB" w:rsidRPr="002A6DAB">
        <w:t xml:space="preserve">, </w:t>
      </w:r>
      <w:r w:rsidR="00346489" w:rsidRPr="002A6DAB">
        <w:t>se recoge expresamente que se tendrá en cuenta en la evaluación que haga la Comisión si los Estados miembros disponen de sistemas de prevención, detección y corrección de la corrupción, el fraude y los conflictos de intereses en la utilización de los fondos.</w:t>
      </w:r>
      <w:r w:rsidR="002A6DAB" w:rsidRPr="002A6DAB">
        <w:t xml:space="preserve"> Y así se ha recogido en el artículo </w:t>
      </w:r>
      <w:r w:rsidR="00346489" w:rsidRPr="002A6DAB">
        <w:t>3</w:t>
      </w:r>
      <w:r w:rsidR="002A6DAB" w:rsidRPr="002A6DAB">
        <w:t>.</w:t>
      </w:r>
      <w:r w:rsidR="00346489" w:rsidRPr="002A6DAB">
        <w:t>2</w:t>
      </w:r>
      <w:r w:rsidR="002A6DAB" w:rsidRPr="002A6DAB">
        <w:t xml:space="preserve"> </w:t>
      </w:r>
      <w:r w:rsidR="00346489" w:rsidRPr="002A6DAB">
        <w:t>j) del RDL 36/2020, de 30 de diciembre, por el que se aprueban medidas urgentes para la modernización de la Administración Pública y para la ejecución del Plan de Recuperación, Transformación y Resiliencia</w:t>
      </w:r>
      <w:r w:rsidR="002A6DAB" w:rsidRPr="002A6DAB">
        <w:t xml:space="preserve">, que </w:t>
      </w:r>
      <w:r w:rsidR="00346489" w:rsidRPr="002A6DAB">
        <w:t>incluye como principio de gestión la “prevención eficaz de los conflictos de intereses, el fraude y las irregularidades”</w:t>
      </w:r>
      <w:r w:rsidR="002A6DAB" w:rsidRPr="002A6DAB">
        <w:t xml:space="preserve">. </w:t>
      </w:r>
    </w:p>
    <w:p w14:paraId="11FA036B" w14:textId="6A7FFF11" w:rsidR="00346489" w:rsidRDefault="00346489" w:rsidP="00ED6BC6">
      <w:pPr>
        <w:jc w:val="both"/>
      </w:pPr>
    </w:p>
    <w:p w14:paraId="4B691108" w14:textId="0AB503E7" w:rsidR="00836811" w:rsidRDefault="00836811" w:rsidP="00836811">
      <w:pPr>
        <w:jc w:val="right"/>
      </w:pPr>
      <w:r>
        <w:t>24 de febrero de 2021</w:t>
      </w:r>
    </w:p>
    <w:sectPr w:rsidR="00836811" w:rsidSect="00B41F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5928" w14:textId="77777777" w:rsidR="00F7740B" w:rsidRDefault="00F7740B" w:rsidP="00750FE7">
      <w:r>
        <w:separator/>
      </w:r>
    </w:p>
  </w:endnote>
  <w:endnote w:type="continuationSeparator" w:id="0">
    <w:p w14:paraId="4930E8BC" w14:textId="77777777" w:rsidR="00F7740B" w:rsidRDefault="00F7740B" w:rsidP="0075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0376" w14:textId="77777777" w:rsidR="00D117D7" w:rsidRPr="00D117D7" w:rsidRDefault="00D117D7">
    <w:pPr>
      <w:tabs>
        <w:tab w:val="center" w:pos="4550"/>
        <w:tab w:val="left" w:pos="5818"/>
      </w:tabs>
      <w:ind w:right="260"/>
      <w:jc w:val="right"/>
      <w:rPr>
        <w:i/>
        <w:iCs/>
        <w:color w:val="222A35" w:themeColor="text2" w:themeShade="80"/>
        <w:sz w:val="18"/>
        <w:szCs w:val="18"/>
      </w:rPr>
    </w:pPr>
    <w:r w:rsidRPr="00D117D7">
      <w:rPr>
        <w:i/>
        <w:iCs/>
        <w:color w:val="323E4F" w:themeColor="text2" w:themeShade="BF"/>
        <w:sz w:val="18"/>
        <w:szCs w:val="18"/>
      </w:rPr>
      <w:fldChar w:fldCharType="begin"/>
    </w:r>
    <w:r w:rsidRPr="00D117D7">
      <w:rPr>
        <w:i/>
        <w:iCs/>
        <w:color w:val="323E4F" w:themeColor="text2" w:themeShade="BF"/>
        <w:sz w:val="18"/>
        <w:szCs w:val="18"/>
      </w:rPr>
      <w:instrText>PAGE   \* MERGEFORMAT</w:instrText>
    </w:r>
    <w:r w:rsidRPr="00D117D7">
      <w:rPr>
        <w:i/>
        <w:iCs/>
        <w:color w:val="323E4F" w:themeColor="text2" w:themeShade="BF"/>
        <w:sz w:val="18"/>
        <w:szCs w:val="18"/>
      </w:rPr>
      <w:fldChar w:fldCharType="separate"/>
    </w:r>
    <w:r w:rsidRPr="00D117D7">
      <w:rPr>
        <w:i/>
        <w:iCs/>
        <w:color w:val="323E4F" w:themeColor="text2" w:themeShade="BF"/>
        <w:sz w:val="18"/>
        <w:szCs w:val="18"/>
      </w:rPr>
      <w:t>1</w:t>
    </w:r>
    <w:r w:rsidRPr="00D117D7">
      <w:rPr>
        <w:i/>
        <w:iCs/>
        <w:color w:val="323E4F" w:themeColor="text2" w:themeShade="BF"/>
        <w:sz w:val="18"/>
        <w:szCs w:val="18"/>
      </w:rPr>
      <w:fldChar w:fldCharType="end"/>
    </w:r>
    <w:r w:rsidRPr="00D117D7">
      <w:rPr>
        <w:i/>
        <w:iCs/>
        <w:color w:val="323E4F" w:themeColor="text2" w:themeShade="BF"/>
        <w:sz w:val="18"/>
        <w:szCs w:val="18"/>
      </w:rPr>
      <w:t xml:space="preserve"> | </w:t>
    </w:r>
    <w:r w:rsidRPr="00D117D7">
      <w:rPr>
        <w:i/>
        <w:iCs/>
        <w:color w:val="323E4F" w:themeColor="text2" w:themeShade="BF"/>
        <w:sz w:val="18"/>
        <w:szCs w:val="18"/>
      </w:rPr>
      <w:fldChar w:fldCharType="begin"/>
    </w:r>
    <w:r w:rsidRPr="00D117D7">
      <w:rPr>
        <w:i/>
        <w:iCs/>
        <w:color w:val="323E4F" w:themeColor="text2" w:themeShade="BF"/>
        <w:sz w:val="18"/>
        <w:szCs w:val="18"/>
      </w:rPr>
      <w:instrText>NUMPAGES  \* Arabic  \* MERGEFORMAT</w:instrText>
    </w:r>
    <w:r w:rsidRPr="00D117D7">
      <w:rPr>
        <w:i/>
        <w:iCs/>
        <w:color w:val="323E4F" w:themeColor="text2" w:themeShade="BF"/>
        <w:sz w:val="18"/>
        <w:szCs w:val="18"/>
      </w:rPr>
      <w:fldChar w:fldCharType="separate"/>
    </w:r>
    <w:r w:rsidRPr="00D117D7">
      <w:rPr>
        <w:i/>
        <w:iCs/>
        <w:color w:val="323E4F" w:themeColor="text2" w:themeShade="BF"/>
        <w:sz w:val="18"/>
        <w:szCs w:val="18"/>
      </w:rPr>
      <w:t>1</w:t>
    </w:r>
    <w:r w:rsidRPr="00D117D7">
      <w:rPr>
        <w:i/>
        <w:iCs/>
        <w:color w:val="323E4F" w:themeColor="text2" w:themeShade="BF"/>
        <w:sz w:val="18"/>
        <w:szCs w:val="18"/>
      </w:rPr>
      <w:fldChar w:fldCharType="end"/>
    </w:r>
  </w:p>
  <w:p w14:paraId="11FA0377" w14:textId="77777777" w:rsidR="00B41F81" w:rsidRDefault="00B41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A455" w14:textId="77777777" w:rsidR="00F7740B" w:rsidRDefault="00F7740B" w:rsidP="00750FE7">
      <w:r>
        <w:separator/>
      </w:r>
    </w:p>
  </w:footnote>
  <w:footnote w:type="continuationSeparator" w:id="0">
    <w:p w14:paraId="0E36F314" w14:textId="77777777" w:rsidR="00F7740B" w:rsidRDefault="00F7740B" w:rsidP="0075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0375" w14:textId="77777777" w:rsidR="00750FE7" w:rsidRDefault="00750FE7" w:rsidP="00750FE7">
    <w:pPr>
      <w:pStyle w:val="Encabezado"/>
      <w:ind w:left="-851"/>
    </w:pPr>
    <w:r>
      <w:rPr>
        <w:noProof/>
      </w:rPr>
      <w:drawing>
        <wp:inline distT="0" distB="0" distL="0" distR="0" wp14:anchorId="11FA0378" wp14:editId="11FA0379">
          <wp:extent cx="1691640" cy="73914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mc:AlternateContent>
        <mc:Choice Requires="wps">
          <w:drawing>
            <wp:inline distT="0" distB="0" distL="0" distR="0" wp14:anchorId="11FA037A" wp14:editId="11FA037B">
              <wp:extent cx="2804160" cy="918210"/>
              <wp:effectExtent l="0" t="0" r="0" b="0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918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A037E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7F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0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1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2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t>Dirección General de Coordinación de la Acción del Gobierno</w:t>
                          </w: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br/>
                          </w:r>
                        </w:p>
                        <w:p w14:paraId="11FA0383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FA037A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width:220.8pt;height:7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" filled="f" stroked="f">
              <v:textbox inset="0,0,0,0">
                <w:txbxContent>
                  <w:p w14:paraId="11FA037E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7F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0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1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2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  <w:r>
                      <w:rPr>
                        <w:b/>
                        <w:color w:val="C80F2E"/>
                        <w:sz w:val="16"/>
                      </w:rPr>
                      <w:t>Dirección General de Coordinación de la Acción del Gobierno</w:t>
                    </w:r>
                    <w:r>
                      <w:rPr>
                        <w:b/>
                        <w:color w:val="C80F2E"/>
                        <w:sz w:val="16"/>
                      </w:rPr>
                      <w:br/>
                    </w:r>
                  </w:p>
                  <w:p w14:paraId="11FA0383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 w:rsidRPr="00750FE7">
      <w:rPr>
        <w:noProof/>
      </w:rPr>
      <w:drawing>
        <wp:inline distT="0" distB="0" distL="0" distR="0" wp14:anchorId="11FA037C" wp14:editId="11FA037D">
          <wp:extent cx="590400" cy="50040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4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E0E"/>
    <w:multiLevelType w:val="hybridMultilevel"/>
    <w:tmpl w:val="7E1C943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D5603D00">
      <w:start w:val="1"/>
      <w:numFmt w:val="bullet"/>
      <w:lvlText w:val=""/>
      <w:lvlJc w:val="left"/>
      <w:pPr>
        <w:ind w:left="1083" w:hanging="360"/>
      </w:pPr>
      <w:rPr>
        <w:rFonts w:ascii="Wingdings" w:hAnsi="Wingdings" w:hint="default"/>
        <w:color w:val="auto"/>
        <w:sz w:val="24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4C0369"/>
    <w:multiLevelType w:val="hybridMultilevel"/>
    <w:tmpl w:val="02000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89F"/>
    <w:multiLevelType w:val="hybridMultilevel"/>
    <w:tmpl w:val="8138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187"/>
    <w:multiLevelType w:val="hybridMultilevel"/>
    <w:tmpl w:val="ACCEFE4C"/>
    <w:lvl w:ilvl="0" w:tplc="D5603D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D13C1"/>
    <w:multiLevelType w:val="hybridMultilevel"/>
    <w:tmpl w:val="3F646B54"/>
    <w:lvl w:ilvl="0" w:tplc="F2F4263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120FF"/>
    <w:multiLevelType w:val="hybridMultilevel"/>
    <w:tmpl w:val="4C90B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810"/>
    <w:multiLevelType w:val="hybridMultilevel"/>
    <w:tmpl w:val="B8460F02"/>
    <w:lvl w:ilvl="0" w:tplc="082241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4799"/>
    <w:multiLevelType w:val="hybridMultilevel"/>
    <w:tmpl w:val="A64C55FA"/>
    <w:lvl w:ilvl="0" w:tplc="9F122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0997"/>
    <w:multiLevelType w:val="hybridMultilevel"/>
    <w:tmpl w:val="508431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0443EF"/>
    <w:multiLevelType w:val="hybridMultilevel"/>
    <w:tmpl w:val="B3D6A654"/>
    <w:lvl w:ilvl="0" w:tplc="237CA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5095"/>
    <w:multiLevelType w:val="hybridMultilevel"/>
    <w:tmpl w:val="76DA0C94"/>
    <w:lvl w:ilvl="0" w:tplc="EDC8B3DE">
      <w:start w:val="1"/>
      <w:numFmt w:val="decimal"/>
      <w:lvlText w:val="%1."/>
      <w:lvlJc w:val="left"/>
      <w:pPr>
        <w:ind w:left="462" w:hanging="360"/>
      </w:pPr>
      <w:rPr>
        <w:rFonts w:hint="default"/>
        <w:w w:val="106"/>
        <w:lang w:val="es-ES" w:eastAsia="en-US" w:bidi="ar-SA"/>
      </w:rPr>
    </w:lvl>
    <w:lvl w:ilvl="1" w:tplc="CEF2D0CA">
      <w:numFmt w:val="bullet"/>
      <w:lvlText w:val=""/>
      <w:lvlJc w:val="left"/>
      <w:pPr>
        <w:ind w:left="822" w:hanging="360"/>
      </w:pPr>
      <w:rPr>
        <w:rFonts w:hint="default"/>
        <w:w w:val="99"/>
        <w:lang w:val="es-ES" w:eastAsia="en-US" w:bidi="ar-SA"/>
      </w:rPr>
    </w:lvl>
    <w:lvl w:ilvl="2" w:tplc="6430EE4A"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3" w:tplc="24704ACA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4" w:tplc="99EA414C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5" w:tplc="5476972A">
      <w:numFmt w:val="bullet"/>
      <w:lvlText w:val="•"/>
      <w:lvlJc w:val="left"/>
      <w:pPr>
        <w:ind w:left="4956" w:hanging="360"/>
      </w:pPr>
      <w:rPr>
        <w:rFonts w:hint="default"/>
        <w:lang w:val="es-ES" w:eastAsia="en-US" w:bidi="ar-SA"/>
      </w:rPr>
    </w:lvl>
    <w:lvl w:ilvl="6" w:tplc="C49294A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7" w:tplc="29A27094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5454A4F6">
      <w:numFmt w:val="bullet"/>
      <w:lvlText w:val="•"/>
      <w:lvlJc w:val="left"/>
      <w:pPr>
        <w:ind w:left="805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B1B49EC"/>
    <w:multiLevelType w:val="hybridMultilevel"/>
    <w:tmpl w:val="523A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2C56"/>
    <w:multiLevelType w:val="hybridMultilevel"/>
    <w:tmpl w:val="3732EC6E"/>
    <w:lvl w:ilvl="0" w:tplc="63E258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3824"/>
    <w:multiLevelType w:val="hybridMultilevel"/>
    <w:tmpl w:val="D2464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01384"/>
    <w:multiLevelType w:val="hybridMultilevel"/>
    <w:tmpl w:val="CFFEC57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72E7BA2"/>
    <w:multiLevelType w:val="hybridMultilevel"/>
    <w:tmpl w:val="74DC9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59D0"/>
    <w:multiLevelType w:val="hybridMultilevel"/>
    <w:tmpl w:val="04243354"/>
    <w:lvl w:ilvl="0" w:tplc="AC302822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FEB276F"/>
    <w:multiLevelType w:val="hybridMultilevel"/>
    <w:tmpl w:val="1D10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6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E7"/>
    <w:rsid w:val="00036398"/>
    <w:rsid w:val="000377EC"/>
    <w:rsid w:val="001139B9"/>
    <w:rsid w:val="00153412"/>
    <w:rsid w:val="00156041"/>
    <w:rsid w:val="001D3309"/>
    <w:rsid w:val="002A100E"/>
    <w:rsid w:val="002A6DAB"/>
    <w:rsid w:val="002D05F6"/>
    <w:rsid w:val="00346489"/>
    <w:rsid w:val="00351606"/>
    <w:rsid w:val="0036317B"/>
    <w:rsid w:val="00382B67"/>
    <w:rsid w:val="0038477F"/>
    <w:rsid w:val="003A0E49"/>
    <w:rsid w:val="003B7563"/>
    <w:rsid w:val="003B7CB1"/>
    <w:rsid w:val="004359E1"/>
    <w:rsid w:val="00470911"/>
    <w:rsid w:val="00471F29"/>
    <w:rsid w:val="005025F6"/>
    <w:rsid w:val="00581062"/>
    <w:rsid w:val="00624AC3"/>
    <w:rsid w:val="006818BC"/>
    <w:rsid w:val="0068404A"/>
    <w:rsid w:val="006B2A16"/>
    <w:rsid w:val="006D0038"/>
    <w:rsid w:val="00727998"/>
    <w:rsid w:val="007361E2"/>
    <w:rsid w:val="00741B19"/>
    <w:rsid w:val="00750FE7"/>
    <w:rsid w:val="00796391"/>
    <w:rsid w:val="00836811"/>
    <w:rsid w:val="00880BA1"/>
    <w:rsid w:val="008976E3"/>
    <w:rsid w:val="008E095C"/>
    <w:rsid w:val="008F1F09"/>
    <w:rsid w:val="008F25D3"/>
    <w:rsid w:val="009451D4"/>
    <w:rsid w:val="00945549"/>
    <w:rsid w:val="00981719"/>
    <w:rsid w:val="00AC6C58"/>
    <w:rsid w:val="00B3008F"/>
    <w:rsid w:val="00B41F81"/>
    <w:rsid w:val="00C363FB"/>
    <w:rsid w:val="00C378D6"/>
    <w:rsid w:val="00CB44C0"/>
    <w:rsid w:val="00CE0A24"/>
    <w:rsid w:val="00D117D7"/>
    <w:rsid w:val="00D54F5D"/>
    <w:rsid w:val="00EB35A1"/>
    <w:rsid w:val="00ED6BC6"/>
    <w:rsid w:val="00F105AE"/>
    <w:rsid w:val="00F256E2"/>
    <w:rsid w:val="00F37E65"/>
    <w:rsid w:val="00F64F13"/>
    <w:rsid w:val="00F7740B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A0350"/>
  <w15:chartTrackingRefBased/>
  <w15:docId w15:val="{DB1A8D43-7295-4B4D-96C6-FD226ED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D7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818B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6811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FE7"/>
  </w:style>
  <w:style w:type="paragraph" w:styleId="Piedepgina">
    <w:name w:val="footer"/>
    <w:basedOn w:val="Normal"/>
    <w:link w:val="PiedepginaCar"/>
    <w:uiPriority w:val="99"/>
    <w:unhideWhenUsed/>
    <w:rsid w:val="00750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E7"/>
  </w:style>
  <w:style w:type="paragraph" w:customStyle="1" w:styleId="Contenidodelmarco">
    <w:name w:val="Contenido del marco"/>
    <w:basedOn w:val="Normal"/>
    <w:qFormat/>
    <w:rsid w:val="00750FE7"/>
    <w:pPr>
      <w:suppressAutoHyphens/>
      <w:textAlignment w:val="baseline"/>
    </w:pPr>
    <w:rPr>
      <w:rFonts w:ascii="Roboto" w:eastAsia="Roboto" w:hAnsi="Roboto" w:cs="Roboto"/>
      <w:kern w:val="2"/>
      <w:szCs w:val="24"/>
      <w:lang w:eastAsia="zh-CN" w:bidi="hi-IN"/>
    </w:rPr>
  </w:style>
  <w:style w:type="paragraph" w:styleId="Prrafodelista">
    <w:name w:val="List Paragraph"/>
    <w:basedOn w:val="Normal"/>
    <w:uiPriority w:val="1"/>
    <w:qFormat/>
    <w:rsid w:val="00D117D7"/>
    <w:pPr>
      <w:ind w:left="720"/>
    </w:pPr>
  </w:style>
  <w:style w:type="paragraph" w:styleId="Textoindependiente">
    <w:name w:val="Body Text"/>
    <w:basedOn w:val="Normal"/>
    <w:link w:val="TextoindependienteCar"/>
    <w:uiPriority w:val="99"/>
    <w:unhideWhenUsed/>
    <w:rsid w:val="007361E2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1E2"/>
    <w:rPr>
      <w:rFonts w:ascii="Calibri" w:hAnsi="Calibri" w:cs="Calibri"/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61E2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61E2"/>
    <w:rPr>
      <w:rFonts w:ascii="Calibri" w:hAnsi="Calibri" w:cs="Calibri"/>
    </w:rPr>
  </w:style>
  <w:style w:type="paragraph" w:customStyle="1" w:styleId="paragraph">
    <w:name w:val="paragraph"/>
    <w:basedOn w:val="Normal"/>
    <w:rsid w:val="008F1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F1F09"/>
  </w:style>
  <w:style w:type="character" w:customStyle="1" w:styleId="Ttulo1Car">
    <w:name w:val="Título 1 Car"/>
    <w:basedOn w:val="Fuentedeprrafopredeter"/>
    <w:link w:val="Ttulo1"/>
    <w:uiPriority w:val="9"/>
    <w:rsid w:val="006818BC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3464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C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36811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BELTRÁN, Mª DOLORES</dc:creator>
  <cp:keywords/>
  <dc:description/>
  <cp:lastModifiedBy>DELGADO DE LAS MARINAS, JULIÁN</cp:lastModifiedBy>
  <cp:revision>2</cp:revision>
  <cp:lastPrinted>2021-02-23T13:21:00Z</cp:lastPrinted>
  <dcterms:created xsi:type="dcterms:W3CDTF">2021-06-25T09:24:00Z</dcterms:created>
  <dcterms:modified xsi:type="dcterms:W3CDTF">2021-06-25T09:24:00Z</dcterms:modified>
</cp:coreProperties>
</file>