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18C2" w14:textId="77777777" w:rsidR="000305E5" w:rsidRPr="003626AC" w:rsidRDefault="00D51A5E" w:rsidP="00750FE7">
      <w:pPr>
        <w:pStyle w:val="Encabezado"/>
        <w:tabs>
          <w:tab w:val="clear" w:pos="4252"/>
          <w:tab w:val="clear" w:pos="8504"/>
        </w:tabs>
        <w:spacing w:after="160" w:line="259" w:lineRule="auto"/>
      </w:pPr>
      <w:bookmarkStart w:id="0" w:name="_GoBack"/>
      <w:bookmarkEnd w:id="0"/>
    </w:p>
    <w:p w14:paraId="5EB69CE5" w14:textId="77777777" w:rsidR="00D117D7" w:rsidRPr="003626AC" w:rsidRDefault="00D117D7" w:rsidP="00D117D7">
      <w:pPr>
        <w:rPr>
          <w:rFonts w:eastAsia="Calibri" w:cs="Times New Roman"/>
          <w:b/>
          <w:bCs/>
          <w:u w:val="single"/>
        </w:rPr>
      </w:pPr>
      <w:r w:rsidRPr="003626AC">
        <w:rPr>
          <w:rFonts w:eastAsia="Calibri" w:cs="Times New Roman"/>
          <w:b/>
          <w:bCs/>
          <w:u w:val="single"/>
        </w:rPr>
        <w:t>ANTECEDENTES</w:t>
      </w:r>
    </w:p>
    <w:p w14:paraId="1EADF5E7" w14:textId="77777777" w:rsidR="00741B19" w:rsidRPr="003626AC" w:rsidRDefault="00741B19" w:rsidP="00D117D7">
      <w:pPr>
        <w:rPr>
          <w:rFonts w:eastAsia="Calibri" w:cs="Times New Roman"/>
        </w:rPr>
      </w:pPr>
    </w:p>
    <w:p w14:paraId="12BF6A4D" w14:textId="77777777" w:rsidR="00D117D7" w:rsidRPr="003626AC" w:rsidRDefault="00D117D7" w:rsidP="00D117D7">
      <w:pPr>
        <w:rPr>
          <w:rFonts w:eastAsia="Calibri" w:cs="Times New Roman"/>
        </w:rPr>
      </w:pPr>
      <w:r w:rsidRPr="003626AC">
        <w:rPr>
          <w:rFonts w:eastAsia="Calibri" w:cs="Times New Roman"/>
        </w:rPr>
        <w:t xml:space="preserve">El Consejo Europeo aprueba el 21 de julio de 2020, de un paquete de medidas que resultan en </w:t>
      </w:r>
    </w:p>
    <w:p w14:paraId="545DB51B" w14:textId="77777777" w:rsidR="00D117D7" w:rsidRPr="003626AC" w:rsidRDefault="00D117D7" w:rsidP="00D117D7">
      <w:pPr>
        <w:numPr>
          <w:ilvl w:val="0"/>
          <w:numId w:val="8"/>
        </w:numPr>
        <w:jc w:val="both"/>
        <w:rPr>
          <w:rFonts w:eastAsia="Calibri" w:cs="Times New Roman"/>
        </w:rPr>
      </w:pPr>
      <w:r w:rsidRPr="003626AC">
        <w:rPr>
          <w:rFonts w:eastAsia="Calibri" w:cs="Times New Roman"/>
        </w:rPr>
        <w:t>un marco financiero plurianual (MFP) reforzado para 2021-2027 (Reglamento 2020/2093, de 17 de diciembre de 2020)</w:t>
      </w:r>
      <w:r w:rsidRPr="003626AC">
        <w:rPr>
          <w:rFonts w:eastAsia="Calibri"/>
        </w:rPr>
        <w:t xml:space="preserve"> </w:t>
      </w:r>
      <w:r w:rsidRPr="003626AC">
        <w:rPr>
          <w:rFonts w:eastAsia="Calibri" w:cs="Times New Roman"/>
        </w:rPr>
        <w:t xml:space="preserve">cuyo presupuesto ha sido reforzado con 1,1 billones de euros, y </w:t>
      </w:r>
    </w:p>
    <w:p w14:paraId="29F9C24C" w14:textId="77777777" w:rsidR="00D117D7" w:rsidRPr="003626AC" w:rsidRDefault="00D117D7" w:rsidP="00D117D7">
      <w:pPr>
        <w:numPr>
          <w:ilvl w:val="0"/>
          <w:numId w:val="8"/>
        </w:numPr>
        <w:rPr>
          <w:rFonts w:eastAsia="Calibri" w:cs="Times New Roman"/>
        </w:rPr>
      </w:pPr>
      <w:r w:rsidRPr="003626AC">
        <w:rPr>
          <w:rFonts w:eastAsia="Calibri" w:cs="Times New Roman"/>
        </w:rPr>
        <w:t>la puesta en marcha de un Instrumento Europeo de Recuperación («Next Generation EU») por valor de 750.000 millones de € (Reglamento 2020/2094, de 14 de diciembre de 2020), con el siguiente desglose.</w:t>
      </w:r>
    </w:p>
    <w:p w14:paraId="6D9FB041" w14:textId="09244543" w:rsidR="00D117D7" w:rsidRPr="003626AC" w:rsidRDefault="00D117D7" w:rsidP="00D117D7">
      <w:pPr>
        <w:ind w:left="720"/>
        <w:rPr>
          <w:rFonts w:eastAsia="Calibri" w:cs="Times New Roman"/>
        </w:rPr>
      </w:pPr>
    </w:p>
    <w:p w14:paraId="20AA569B" w14:textId="77777777" w:rsidR="007166AC" w:rsidRPr="003626AC" w:rsidRDefault="007166AC" w:rsidP="007166AC">
      <w:pPr>
        <w:ind w:left="720"/>
        <w:rPr>
          <w:rFonts w:eastAsia="Calibri" w:cs="Times New Roman"/>
        </w:rPr>
      </w:pPr>
    </w:p>
    <w:tbl>
      <w:tblPr>
        <w:tblW w:w="10206" w:type="dxa"/>
        <w:tblInd w:w="-572" w:type="dxa"/>
        <w:tblCellMar>
          <w:left w:w="70" w:type="dxa"/>
          <w:right w:w="70" w:type="dxa"/>
        </w:tblCellMar>
        <w:tblLook w:val="04A0" w:firstRow="1" w:lastRow="0" w:firstColumn="1" w:lastColumn="0" w:noHBand="0" w:noVBand="1"/>
      </w:tblPr>
      <w:tblGrid>
        <w:gridCol w:w="2056"/>
        <w:gridCol w:w="1772"/>
        <w:gridCol w:w="4819"/>
        <w:gridCol w:w="992"/>
        <w:gridCol w:w="567"/>
      </w:tblGrid>
      <w:tr w:rsidR="007166AC" w:rsidRPr="003626AC" w14:paraId="45CE8DA5" w14:textId="77777777" w:rsidTr="00035FAD">
        <w:trPr>
          <w:trHeight w:val="630"/>
        </w:trPr>
        <w:tc>
          <w:tcPr>
            <w:tcW w:w="2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C94290" w14:textId="65FB30A4" w:rsidR="007166AC" w:rsidRPr="003626AC" w:rsidRDefault="007166AC" w:rsidP="00035FAD">
            <w:pPr>
              <w:jc w:val="center"/>
              <w:rPr>
                <w:rFonts w:eastAsia="Times New Roman"/>
                <w:b/>
                <w:bCs/>
                <w:color w:val="000000"/>
                <w:sz w:val="20"/>
                <w:szCs w:val="20"/>
                <w:lang w:eastAsia="es-ES"/>
              </w:rPr>
            </w:pPr>
            <w:r w:rsidRPr="003626AC">
              <w:rPr>
                <w:rFonts w:eastAsia="Times New Roman"/>
                <w:b/>
                <w:bCs/>
                <w:color w:val="000000"/>
                <w:sz w:val="20"/>
                <w:szCs w:val="20"/>
                <w:lang w:eastAsia="es-ES"/>
              </w:rPr>
              <w:t>Instrumento de Recuperación de la UE= 750.000 millones €=Next Generation EU</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0B6860" w14:textId="7E795D2D" w:rsidR="007166AC" w:rsidRPr="003626AC" w:rsidRDefault="007166AC" w:rsidP="00035FAD">
            <w:pPr>
              <w:rPr>
                <w:rFonts w:eastAsia="Times New Roman"/>
                <w:b/>
                <w:bCs/>
                <w:color w:val="000000"/>
                <w:sz w:val="20"/>
                <w:szCs w:val="20"/>
                <w:lang w:eastAsia="es-ES"/>
              </w:rPr>
            </w:pPr>
            <w:r w:rsidRPr="003626AC">
              <w:rPr>
                <w:rFonts w:eastAsia="Times New Roman"/>
                <w:b/>
                <w:bCs/>
                <w:color w:val="000000"/>
                <w:sz w:val="20"/>
                <w:szCs w:val="20"/>
                <w:lang w:eastAsia="es-ES"/>
              </w:rPr>
              <w:t>Mecanismo de Recuperación y Resiliencia= 672.000 millones €</w:t>
            </w:r>
          </w:p>
        </w:tc>
        <w:tc>
          <w:tcPr>
            <w:tcW w:w="4819" w:type="dxa"/>
            <w:tcBorders>
              <w:top w:val="single" w:sz="4" w:space="0" w:color="auto"/>
              <w:left w:val="nil"/>
              <w:bottom w:val="single" w:sz="4" w:space="0" w:color="auto"/>
              <w:right w:val="nil"/>
            </w:tcBorders>
            <w:shd w:val="clear" w:color="auto" w:fill="auto"/>
            <w:vAlign w:val="center"/>
            <w:hideMark/>
          </w:tcPr>
          <w:p w14:paraId="0DB01175" w14:textId="564098FF"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Prog. Finançiación</w:t>
            </w:r>
            <w:r w:rsidR="004A79D4" w:rsidRPr="003626AC">
              <w:rPr>
                <w:rFonts w:eastAsia="Times New Roman"/>
                <w:color w:val="000000"/>
                <w:sz w:val="20"/>
                <w:szCs w:val="20"/>
                <w:lang w:eastAsia="es-ES"/>
              </w:rPr>
              <w:t xml:space="preserve">, </w:t>
            </w:r>
            <w:r w:rsidRPr="003626AC">
              <w:rPr>
                <w:rFonts w:eastAsia="Times New Roman"/>
                <w:color w:val="000000"/>
                <w:sz w:val="20"/>
                <w:szCs w:val="20"/>
                <w:lang w:eastAsia="es-ES"/>
              </w:rPr>
              <w:t>recuperació</w:t>
            </w:r>
            <w:r w:rsidR="004A79D4" w:rsidRPr="003626AC">
              <w:rPr>
                <w:rFonts w:eastAsia="Times New Roman"/>
                <w:color w:val="000000"/>
                <w:sz w:val="20"/>
                <w:szCs w:val="20"/>
                <w:lang w:eastAsia="es-ES"/>
              </w:rPr>
              <w:t>n y</w:t>
            </w:r>
            <w:r w:rsidRPr="003626AC">
              <w:rPr>
                <w:rFonts w:eastAsia="Times New Roman"/>
                <w:color w:val="000000"/>
                <w:sz w:val="20"/>
                <w:szCs w:val="20"/>
                <w:lang w:eastAsia="es-ES"/>
              </w:rPr>
              <w:t xml:space="preserve"> resili</w:t>
            </w:r>
            <w:r w:rsidR="004A79D4" w:rsidRPr="003626AC">
              <w:rPr>
                <w:rFonts w:eastAsia="Times New Roman"/>
                <w:color w:val="000000"/>
                <w:sz w:val="20"/>
                <w:szCs w:val="20"/>
                <w:lang w:eastAsia="es-ES"/>
              </w:rPr>
              <w:t>e</w:t>
            </w:r>
            <w:r w:rsidRPr="003626AC">
              <w:rPr>
                <w:rFonts w:eastAsia="Times New Roman"/>
                <w:color w:val="000000"/>
                <w:sz w:val="20"/>
                <w:szCs w:val="20"/>
                <w:lang w:eastAsia="es-ES"/>
              </w:rPr>
              <w:t>ncia econ</w:t>
            </w:r>
            <w:r w:rsidR="004A79D4" w:rsidRPr="003626AC">
              <w:rPr>
                <w:rFonts w:eastAsia="Times New Roman"/>
                <w:color w:val="000000"/>
                <w:sz w:val="20"/>
                <w:szCs w:val="20"/>
                <w:lang w:eastAsia="es-ES"/>
              </w:rPr>
              <w:t>ó</w:t>
            </w:r>
            <w:r w:rsidRPr="003626AC">
              <w:rPr>
                <w:rFonts w:eastAsia="Times New Roman"/>
                <w:color w:val="000000"/>
                <w:sz w:val="20"/>
                <w:szCs w:val="20"/>
                <w:lang w:eastAsia="es-ES"/>
              </w:rPr>
              <w:t xml:space="preserve">mica </w:t>
            </w:r>
            <w:r w:rsidR="004A79D4" w:rsidRPr="003626AC">
              <w:rPr>
                <w:rFonts w:eastAsia="Times New Roman"/>
                <w:color w:val="000000"/>
                <w:sz w:val="20"/>
                <w:szCs w:val="20"/>
                <w:lang w:eastAsia="es-ES"/>
              </w:rPr>
              <w:t>y</w:t>
            </w:r>
            <w:r w:rsidRPr="003626AC">
              <w:rPr>
                <w:rFonts w:eastAsia="Times New Roman"/>
                <w:color w:val="000000"/>
                <w:sz w:val="20"/>
                <w:szCs w:val="20"/>
                <w:lang w:eastAsia="es-ES"/>
              </w:rPr>
              <w:t xml:space="preserve"> social</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69A5C2B"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312.500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CEACF8"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2BF012DA" w14:textId="77777777" w:rsidTr="00035FAD">
        <w:trPr>
          <w:trHeight w:val="60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201CCDD5" w14:textId="77777777" w:rsidR="007166AC" w:rsidRPr="003626AC" w:rsidRDefault="007166AC" w:rsidP="00035FAD">
            <w:pPr>
              <w:rPr>
                <w:rFonts w:eastAsia="Times New Roman"/>
                <w:b/>
                <w:bCs/>
                <w:color w:val="000000"/>
                <w:sz w:val="20"/>
                <w:szCs w:val="20"/>
                <w:lang w:eastAsia="es-ES"/>
              </w:rPr>
            </w:pPr>
          </w:p>
        </w:tc>
        <w:tc>
          <w:tcPr>
            <w:tcW w:w="1772" w:type="dxa"/>
            <w:vMerge/>
            <w:tcBorders>
              <w:top w:val="single" w:sz="4" w:space="0" w:color="auto"/>
              <w:left w:val="single" w:sz="4" w:space="0" w:color="auto"/>
              <w:bottom w:val="single" w:sz="4" w:space="0" w:color="000000"/>
              <w:right w:val="single" w:sz="4" w:space="0" w:color="auto"/>
            </w:tcBorders>
            <w:vAlign w:val="center"/>
            <w:hideMark/>
          </w:tcPr>
          <w:p w14:paraId="0C112485" w14:textId="77777777" w:rsidR="007166AC" w:rsidRPr="003626AC" w:rsidRDefault="007166AC" w:rsidP="00035FAD">
            <w:pPr>
              <w:rPr>
                <w:rFonts w:eastAsia="Times New Roman"/>
                <w:b/>
                <w:bCs/>
                <w:color w:val="000000"/>
                <w:sz w:val="20"/>
                <w:szCs w:val="20"/>
                <w:lang w:eastAsia="es-ES"/>
              </w:rPr>
            </w:pPr>
          </w:p>
        </w:tc>
        <w:tc>
          <w:tcPr>
            <w:tcW w:w="4819" w:type="dxa"/>
            <w:tcBorders>
              <w:top w:val="nil"/>
              <w:left w:val="nil"/>
              <w:bottom w:val="single" w:sz="4" w:space="0" w:color="auto"/>
              <w:right w:val="nil"/>
            </w:tcBorders>
            <w:shd w:val="clear" w:color="auto" w:fill="auto"/>
            <w:vAlign w:val="center"/>
            <w:hideMark/>
          </w:tcPr>
          <w:p w14:paraId="08B2C861" w14:textId="31AB449A"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Prést</w:t>
            </w:r>
            <w:r w:rsidR="004A79D4" w:rsidRPr="003626AC">
              <w:rPr>
                <w:rFonts w:eastAsia="Times New Roman"/>
                <w:color w:val="000000"/>
                <w:sz w:val="20"/>
                <w:szCs w:val="20"/>
                <w:lang w:eastAsia="es-ES"/>
              </w:rPr>
              <w:t>amos a Estados miembros</w:t>
            </w:r>
          </w:p>
        </w:tc>
        <w:tc>
          <w:tcPr>
            <w:tcW w:w="992" w:type="dxa"/>
            <w:tcBorders>
              <w:top w:val="nil"/>
              <w:left w:val="single" w:sz="4" w:space="0" w:color="auto"/>
              <w:bottom w:val="single" w:sz="4" w:space="0" w:color="auto"/>
              <w:right w:val="nil"/>
            </w:tcBorders>
            <w:shd w:val="clear" w:color="auto" w:fill="auto"/>
            <w:noWrap/>
            <w:vAlign w:val="bottom"/>
            <w:hideMark/>
          </w:tcPr>
          <w:p w14:paraId="4DBDDE58"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360.000</w:t>
            </w:r>
          </w:p>
        </w:tc>
        <w:tc>
          <w:tcPr>
            <w:tcW w:w="567" w:type="dxa"/>
            <w:tcBorders>
              <w:top w:val="nil"/>
              <w:left w:val="nil"/>
              <w:bottom w:val="single" w:sz="4" w:space="0" w:color="auto"/>
              <w:right w:val="single" w:sz="4" w:space="0" w:color="auto"/>
            </w:tcBorders>
            <w:shd w:val="clear" w:color="auto" w:fill="auto"/>
            <w:noWrap/>
            <w:vAlign w:val="bottom"/>
            <w:hideMark/>
          </w:tcPr>
          <w:p w14:paraId="0807BD26"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1263FEF5" w14:textId="77777777" w:rsidTr="00035FAD">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341009F1" w14:textId="77777777" w:rsidR="007166AC" w:rsidRPr="003626AC" w:rsidRDefault="007166AC" w:rsidP="00035FAD">
            <w:pPr>
              <w:rPr>
                <w:rFonts w:eastAsia="Times New Roman"/>
                <w:b/>
                <w:bCs/>
                <w:color w:val="000000"/>
                <w:sz w:val="20"/>
                <w:szCs w:val="20"/>
                <w:lang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665A26BC" w14:textId="4C2F4B7F" w:rsidR="007166AC" w:rsidRPr="003626AC" w:rsidRDefault="007166AC" w:rsidP="00035FAD">
            <w:pPr>
              <w:rPr>
                <w:rFonts w:eastAsia="Times New Roman"/>
                <w:color w:val="000000"/>
                <w:sz w:val="20"/>
                <w:szCs w:val="20"/>
                <w:lang w:eastAsia="es-ES"/>
              </w:rPr>
            </w:pPr>
            <w:r w:rsidRPr="003626AC">
              <w:rPr>
                <w:rFonts w:eastAsia="Times New Roman"/>
                <w:b/>
                <w:bCs/>
                <w:color w:val="000000"/>
                <w:sz w:val="20"/>
                <w:szCs w:val="20"/>
                <w:lang w:eastAsia="es-ES"/>
              </w:rPr>
              <w:t>REACT-UE-</w:t>
            </w:r>
            <w:r w:rsidRPr="003626AC">
              <w:rPr>
                <w:rFonts w:eastAsia="Times New Roman"/>
                <w:color w:val="000000"/>
                <w:sz w:val="20"/>
                <w:szCs w:val="20"/>
                <w:lang w:eastAsia="es-ES"/>
              </w:rPr>
              <w:t xml:space="preserve"> Prog. Estructural</w:t>
            </w:r>
            <w:r w:rsidR="00A257D4" w:rsidRPr="003626AC">
              <w:rPr>
                <w:rFonts w:eastAsia="Times New Roman"/>
                <w:color w:val="000000"/>
                <w:sz w:val="20"/>
                <w:szCs w:val="20"/>
                <w:lang w:eastAsia="es-ES"/>
              </w:rPr>
              <w:t>e</w:t>
            </w:r>
            <w:r w:rsidRPr="003626AC">
              <w:rPr>
                <w:rFonts w:eastAsia="Times New Roman"/>
                <w:color w:val="000000"/>
                <w:sz w:val="20"/>
                <w:szCs w:val="20"/>
                <w:lang w:eastAsia="es-ES"/>
              </w:rPr>
              <w:t xml:space="preserve">s </w:t>
            </w:r>
            <w:r w:rsidR="00A257D4" w:rsidRPr="003626AC">
              <w:rPr>
                <w:rFonts w:eastAsia="Times New Roman"/>
                <w:color w:val="000000"/>
                <w:sz w:val="20"/>
                <w:szCs w:val="20"/>
                <w:lang w:eastAsia="es-ES"/>
              </w:rPr>
              <w:t>y</w:t>
            </w:r>
            <w:r w:rsidRPr="003626AC">
              <w:rPr>
                <w:rFonts w:eastAsia="Times New Roman"/>
                <w:color w:val="000000"/>
                <w:sz w:val="20"/>
                <w:szCs w:val="20"/>
                <w:lang w:eastAsia="es-ES"/>
              </w:rPr>
              <w:t xml:space="preserve"> </w:t>
            </w:r>
            <w:proofErr w:type="gramStart"/>
            <w:r w:rsidRPr="003626AC">
              <w:rPr>
                <w:rFonts w:eastAsia="Times New Roman"/>
                <w:color w:val="000000"/>
                <w:sz w:val="20"/>
                <w:szCs w:val="20"/>
                <w:lang w:eastAsia="es-ES"/>
              </w:rPr>
              <w:t>cohesió</w:t>
            </w:r>
            <w:r w:rsidR="00A257D4" w:rsidRPr="003626AC">
              <w:rPr>
                <w:rFonts w:eastAsia="Times New Roman"/>
                <w:color w:val="000000"/>
                <w:sz w:val="20"/>
                <w:szCs w:val="20"/>
                <w:lang w:eastAsia="es-ES"/>
              </w:rPr>
              <w:t>n</w:t>
            </w:r>
            <w:r w:rsidRPr="003626AC">
              <w:rPr>
                <w:rFonts w:eastAsia="Times New Roman"/>
                <w:color w:val="000000"/>
                <w:sz w:val="20"/>
                <w:szCs w:val="20"/>
                <w:lang w:eastAsia="es-ES"/>
              </w:rPr>
              <w:t xml:space="preserve">  MFP</w:t>
            </w:r>
            <w:proofErr w:type="gramEnd"/>
            <w:r w:rsidRPr="003626AC">
              <w:rPr>
                <w:rFonts w:eastAsia="Times New Roman"/>
                <w:color w:val="000000"/>
                <w:sz w:val="20"/>
                <w:szCs w:val="20"/>
                <w:lang w:eastAsia="es-ES"/>
              </w:rPr>
              <w:t xml:space="preserve"> 2014-2020 </w:t>
            </w:r>
          </w:p>
        </w:tc>
        <w:tc>
          <w:tcPr>
            <w:tcW w:w="992" w:type="dxa"/>
            <w:tcBorders>
              <w:top w:val="nil"/>
              <w:left w:val="single" w:sz="4" w:space="0" w:color="auto"/>
              <w:bottom w:val="single" w:sz="4" w:space="0" w:color="auto"/>
              <w:right w:val="nil"/>
            </w:tcBorders>
            <w:shd w:val="clear" w:color="auto" w:fill="auto"/>
            <w:noWrap/>
            <w:vAlign w:val="bottom"/>
            <w:hideMark/>
          </w:tcPr>
          <w:p w14:paraId="2B8CDF60"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47.500</w:t>
            </w:r>
          </w:p>
        </w:tc>
        <w:tc>
          <w:tcPr>
            <w:tcW w:w="567" w:type="dxa"/>
            <w:tcBorders>
              <w:top w:val="nil"/>
              <w:left w:val="nil"/>
              <w:bottom w:val="single" w:sz="4" w:space="0" w:color="auto"/>
              <w:right w:val="single" w:sz="4" w:space="0" w:color="auto"/>
            </w:tcBorders>
            <w:shd w:val="clear" w:color="auto" w:fill="auto"/>
            <w:noWrap/>
            <w:vAlign w:val="bottom"/>
            <w:hideMark/>
          </w:tcPr>
          <w:p w14:paraId="566240FD"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09A3B3BF" w14:textId="77777777" w:rsidTr="00035FAD">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2138B6B3" w14:textId="77777777" w:rsidR="007166AC" w:rsidRPr="003626AC" w:rsidRDefault="007166AC" w:rsidP="00035FAD">
            <w:pPr>
              <w:rPr>
                <w:rFonts w:eastAsia="Times New Roman"/>
                <w:b/>
                <w:bCs/>
                <w:color w:val="000000"/>
                <w:sz w:val="20"/>
                <w:szCs w:val="20"/>
                <w:lang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17C5C5A0" w14:textId="4D7014B0" w:rsidR="007166AC" w:rsidRPr="003626AC" w:rsidRDefault="007166AC" w:rsidP="00035FAD">
            <w:pPr>
              <w:rPr>
                <w:rFonts w:eastAsia="Times New Roman"/>
                <w:color w:val="000000"/>
                <w:sz w:val="20"/>
                <w:szCs w:val="20"/>
                <w:lang w:eastAsia="es-ES"/>
              </w:rPr>
            </w:pPr>
            <w:r w:rsidRPr="003626AC">
              <w:rPr>
                <w:rFonts w:eastAsia="Times New Roman"/>
                <w:b/>
                <w:bCs/>
                <w:color w:val="000000"/>
                <w:sz w:val="20"/>
                <w:szCs w:val="20"/>
                <w:lang w:eastAsia="es-ES"/>
              </w:rPr>
              <w:t>RescEU-Prog</w:t>
            </w:r>
            <w:r w:rsidRPr="003626AC">
              <w:rPr>
                <w:rFonts w:eastAsia="Times New Roman"/>
                <w:color w:val="000000"/>
                <w:sz w:val="20"/>
                <w:szCs w:val="20"/>
                <w:lang w:eastAsia="es-ES"/>
              </w:rPr>
              <w:t>. Protecció</w:t>
            </w:r>
            <w:r w:rsidR="00A257D4" w:rsidRPr="003626AC">
              <w:rPr>
                <w:rFonts w:eastAsia="Times New Roman"/>
                <w:color w:val="000000"/>
                <w:sz w:val="20"/>
                <w:szCs w:val="20"/>
                <w:lang w:eastAsia="es-ES"/>
              </w:rPr>
              <w:t>n</w:t>
            </w:r>
            <w:r w:rsidRPr="003626AC">
              <w:rPr>
                <w:rFonts w:eastAsia="Times New Roman"/>
                <w:color w:val="000000"/>
                <w:sz w:val="20"/>
                <w:szCs w:val="20"/>
                <w:lang w:eastAsia="es-ES"/>
              </w:rPr>
              <w:t xml:space="preserve"> civil </w:t>
            </w:r>
          </w:p>
        </w:tc>
        <w:tc>
          <w:tcPr>
            <w:tcW w:w="992" w:type="dxa"/>
            <w:tcBorders>
              <w:top w:val="nil"/>
              <w:left w:val="single" w:sz="4" w:space="0" w:color="auto"/>
              <w:bottom w:val="single" w:sz="4" w:space="0" w:color="auto"/>
              <w:right w:val="nil"/>
            </w:tcBorders>
            <w:shd w:val="clear" w:color="auto" w:fill="auto"/>
            <w:noWrap/>
            <w:vAlign w:val="bottom"/>
            <w:hideMark/>
          </w:tcPr>
          <w:p w14:paraId="193B4160"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1.900</w:t>
            </w:r>
          </w:p>
        </w:tc>
        <w:tc>
          <w:tcPr>
            <w:tcW w:w="567" w:type="dxa"/>
            <w:tcBorders>
              <w:top w:val="nil"/>
              <w:left w:val="nil"/>
              <w:bottom w:val="single" w:sz="4" w:space="0" w:color="auto"/>
              <w:right w:val="single" w:sz="4" w:space="0" w:color="auto"/>
            </w:tcBorders>
            <w:shd w:val="clear" w:color="auto" w:fill="auto"/>
            <w:noWrap/>
            <w:vAlign w:val="bottom"/>
            <w:hideMark/>
          </w:tcPr>
          <w:p w14:paraId="1147C6D6"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0461D433" w14:textId="77777777" w:rsidTr="00035FAD">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68335C1C" w14:textId="77777777" w:rsidR="007166AC" w:rsidRPr="003626AC" w:rsidRDefault="007166AC" w:rsidP="00035FAD">
            <w:pPr>
              <w:rPr>
                <w:rFonts w:eastAsia="Times New Roman"/>
                <w:b/>
                <w:bCs/>
                <w:color w:val="000000"/>
                <w:sz w:val="20"/>
                <w:szCs w:val="20"/>
                <w:lang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15618115" w14:textId="3C791A5E" w:rsidR="007166AC" w:rsidRPr="003626AC" w:rsidRDefault="007166AC" w:rsidP="00035FAD">
            <w:pPr>
              <w:rPr>
                <w:rFonts w:eastAsia="Times New Roman"/>
                <w:color w:val="000000"/>
                <w:sz w:val="20"/>
                <w:szCs w:val="20"/>
                <w:lang w:eastAsia="es-ES"/>
              </w:rPr>
            </w:pPr>
            <w:r w:rsidRPr="003626AC">
              <w:rPr>
                <w:rFonts w:eastAsia="Times New Roman"/>
                <w:b/>
                <w:bCs/>
                <w:color w:val="000000"/>
                <w:sz w:val="20"/>
                <w:szCs w:val="20"/>
                <w:lang w:eastAsia="es-ES"/>
              </w:rPr>
              <w:t>Horitz</w:t>
            </w:r>
            <w:r w:rsidR="00A257D4" w:rsidRPr="003626AC">
              <w:rPr>
                <w:rFonts w:eastAsia="Times New Roman"/>
                <w:b/>
                <w:bCs/>
                <w:color w:val="000000"/>
                <w:sz w:val="20"/>
                <w:szCs w:val="20"/>
                <w:lang w:eastAsia="es-ES"/>
              </w:rPr>
              <w:t>onte</w:t>
            </w:r>
            <w:r w:rsidRPr="003626AC">
              <w:rPr>
                <w:rFonts w:eastAsia="Times New Roman"/>
                <w:b/>
                <w:bCs/>
                <w:color w:val="000000"/>
                <w:sz w:val="20"/>
                <w:szCs w:val="20"/>
                <w:lang w:eastAsia="es-ES"/>
              </w:rPr>
              <w:t xml:space="preserve"> Europa</w:t>
            </w:r>
            <w:r w:rsidRPr="003626AC">
              <w:rPr>
                <w:rFonts w:eastAsia="Times New Roman"/>
                <w:color w:val="000000"/>
                <w:sz w:val="20"/>
                <w:szCs w:val="20"/>
                <w:lang w:eastAsia="es-ES"/>
              </w:rPr>
              <w:t>- Prog investigació</w:t>
            </w:r>
            <w:r w:rsidR="00A257D4" w:rsidRPr="003626AC">
              <w:rPr>
                <w:rFonts w:eastAsia="Times New Roman"/>
                <w:color w:val="000000"/>
                <w:sz w:val="20"/>
                <w:szCs w:val="20"/>
                <w:lang w:eastAsia="es-ES"/>
              </w:rPr>
              <w:t>n</w:t>
            </w:r>
            <w:r w:rsidRPr="003626AC">
              <w:rPr>
                <w:rFonts w:eastAsia="Times New Roman"/>
                <w:color w:val="000000"/>
                <w:sz w:val="20"/>
                <w:szCs w:val="20"/>
                <w:lang w:eastAsia="es-ES"/>
              </w:rPr>
              <w:t xml:space="preserve"> </w:t>
            </w:r>
            <w:r w:rsidR="00A257D4" w:rsidRPr="003626AC">
              <w:rPr>
                <w:rFonts w:eastAsia="Times New Roman"/>
                <w:color w:val="000000"/>
                <w:sz w:val="20"/>
                <w:szCs w:val="20"/>
                <w:lang w:eastAsia="es-ES"/>
              </w:rPr>
              <w:t>e</w:t>
            </w:r>
            <w:r w:rsidRPr="003626AC">
              <w:rPr>
                <w:rFonts w:eastAsia="Times New Roman"/>
                <w:color w:val="000000"/>
                <w:sz w:val="20"/>
                <w:szCs w:val="20"/>
                <w:lang w:eastAsia="es-ES"/>
              </w:rPr>
              <w:t xml:space="preserve"> innovació</w:t>
            </w:r>
            <w:r w:rsidR="00A257D4" w:rsidRPr="003626AC">
              <w:rPr>
                <w:rFonts w:eastAsia="Times New Roman"/>
                <w:color w:val="000000"/>
                <w:sz w:val="20"/>
                <w:szCs w:val="20"/>
                <w:lang w:eastAsia="es-ES"/>
              </w:rPr>
              <w:t>n</w:t>
            </w:r>
          </w:p>
        </w:tc>
        <w:tc>
          <w:tcPr>
            <w:tcW w:w="992" w:type="dxa"/>
            <w:tcBorders>
              <w:top w:val="nil"/>
              <w:left w:val="single" w:sz="4" w:space="0" w:color="auto"/>
              <w:bottom w:val="single" w:sz="4" w:space="0" w:color="auto"/>
              <w:right w:val="nil"/>
            </w:tcBorders>
            <w:shd w:val="clear" w:color="auto" w:fill="auto"/>
            <w:noWrap/>
            <w:vAlign w:val="bottom"/>
            <w:hideMark/>
          </w:tcPr>
          <w:p w14:paraId="58A1AD1D"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5.000</w:t>
            </w:r>
          </w:p>
        </w:tc>
        <w:tc>
          <w:tcPr>
            <w:tcW w:w="567" w:type="dxa"/>
            <w:tcBorders>
              <w:top w:val="nil"/>
              <w:left w:val="nil"/>
              <w:bottom w:val="single" w:sz="4" w:space="0" w:color="auto"/>
              <w:right w:val="single" w:sz="4" w:space="0" w:color="auto"/>
            </w:tcBorders>
            <w:shd w:val="clear" w:color="auto" w:fill="auto"/>
            <w:noWrap/>
            <w:vAlign w:val="bottom"/>
            <w:hideMark/>
          </w:tcPr>
          <w:p w14:paraId="4D7B0B00"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378D63D9" w14:textId="77777777" w:rsidTr="00035FAD">
        <w:trPr>
          <w:trHeight w:val="306"/>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381649CC" w14:textId="77777777" w:rsidR="007166AC" w:rsidRPr="003626AC" w:rsidRDefault="007166AC" w:rsidP="00035FAD">
            <w:pPr>
              <w:rPr>
                <w:rFonts w:eastAsia="Times New Roman"/>
                <w:b/>
                <w:bCs/>
                <w:color w:val="000000"/>
                <w:sz w:val="20"/>
                <w:szCs w:val="20"/>
                <w:lang w:eastAsia="es-ES"/>
              </w:rPr>
            </w:pPr>
          </w:p>
        </w:tc>
        <w:tc>
          <w:tcPr>
            <w:tcW w:w="6591" w:type="dxa"/>
            <w:gridSpan w:val="2"/>
            <w:tcBorders>
              <w:top w:val="single" w:sz="4" w:space="0" w:color="auto"/>
              <w:left w:val="nil"/>
              <w:bottom w:val="single" w:sz="4" w:space="0" w:color="auto"/>
              <w:right w:val="nil"/>
            </w:tcBorders>
            <w:shd w:val="clear" w:color="auto" w:fill="auto"/>
            <w:hideMark/>
          </w:tcPr>
          <w:p w14:paraId="4A19E376" w14:textId="6E7A2C23" w:rsidR="007166AC" w:rsidRPr="003626AC" w:rsidRDefault="007166AC" w:rsidP="00035FAD">
            <w:pPr>
              <w:rPr>
                <w:rFonts w:eastAsia="Times New Roman"/>
                <w:color w:val="000000"/>
                <w:sz w:val="20"/>
                <w:szCs w:val="20"/>
                <w:lang w:eastAsia="es-ES"/>
              </w:rPr>
            </w:pPr>
            <w:r w:rsidRPr="003626AC">
              <w:rPr>
                <w:rFonts w:eastAsia="Times New Roman"/>
                <w:b/>
                <w:bCs/>
                <w:color w:val="000000"/>
                <w:sz w:val="20"/>
                <w:szCs w:val="20"/>
                <w:lang w:eastAsia="es-ES"/>
              </w:rPr>
              <w:t>Fons de transició</w:t>
            </w:r>
            <w:r w:rsidR="00A257D4" w:rsidRPr="003626AC">
              <w:rPr>
                <w:rFonts w:eastAsia="Times New Roman"/>
                <w:b/>
                <w:bCs/>
                <w:color w:val="000000"/>
                <w:sz w:val="20"/>
                <w:szCs w:val="20"/>
                <w:lang w:eastAsia="es-ES"/>
              </w:rPr>
              <w:t>n</w:t>
            </w:r>
            <w:r w:rsidRPr="003626AC">
              <w:rPr>
                <w:rFonts w:eastAsia="Times New Roman"/>
                <w:b/>
                <w:bCs/>
                <w:color w:val="000000"/>
                <w:sz w:val="20"/>
                <w:szCs w:val="20"/>
                <w:lang w:eastAsia="es-ES"/>
              </w:rPr>
              <w:t xml:space="preserve"> justa (FTJ)</w:t>
            </w:r>
            <w:r w:rsidRPr="003626AC">
              <w:rPr>
                <w:rFonts w:eastAsia="Times New Roman"/>
                <w:color w:val="000000"/>
                <w:sz w:val="20"/>
                <w:szCs w:val="20"/>
                <w:lang w:eastAsia="es-ES"/>
              </w:rPr>
              <w:t xml:space="preserve">- Prog. </w:t>
            </w:r>
            <w:r w:rsidR="00755BD1" w:rsidRPr="003626AC">
              <w:rPr>
                <w:rFonts w:eastAsia="Times New Roman"/>
                <w:color w:val="000000"/>
                <w:sz w:val="20"/>
                <w:szCs w:val="20"/>
                <w:lang w:eastAsia="es-ES"/>
              </w:rPr>
              <w:t>apoyo</w:t>
            </w:r>
            <w:r w:rsidRPr="003626AC">
              <w:rPr>
                <w:rFonts w:eastAsia="Times New Roman"/>
                <w:color w:val="000000"/>
                <w:sz w:val="20"/>
                <w:szCs w:val="20"/>
                <w:lang w:eastAsia="es-ES"/>
              </w:rPr>
              <w:t xml:space="preserve"> transició</w:t>
            </w:r>
            <w:r w:rsidR="00755BD1" w:rsidRPr="003626AC">
              <w:rPr>
                <w:rFonts w:eastAsia="Times New Roman"/>
                <w:color w:val="000000"/>
                <w:sz w:val="20"/>
                <w:szCs w:val="20"/>
                <w:lang w:eastAsia="es-ES"/>
              </w:rPr>
              <w:t>n hacia e</w:t>
            </w:r>
            <w:r w:rsidRPr="003626AC">
              <w:rPr>
                <w:rFonts w:eastAsia="Times New Roman"/>
                <w:color w:val="000000"/>
                <w:sz w:val="20"/>
                <w:szCs w:val="20"/>
                <w:lang w:eastAsia="es-ES"/>
              </w:rPr>
              <w:t>conom</w:t>
            </w:r>
            <w:r w:rsidR="00755BD1" w:rsidRPr="003626AC">
              <w:rPr>
                <w:rFonts w:eastAsia="Times New Roman"/>
                <w:color w:val="000000"/>
                <w:sz w:val="20"/>
                <w:szCs w:val="20"/>
                <w:lang w:eastAsia="es-ES"/>
              </w:rPr>
              <w:t>í</w:t>
            </w:r>
            <w:r w:rsidRPr="003626AC">
              <w:rPr>
                <w:rFonts w:eastAsia="Times New Roman"/>
                <w:color w:val="000000"/>
                <w:sz w:val="20"/>
                <w:szCs w:val="20"/>
                <w:lang w:eastAsia="es-ES"/>
              </w:rPr>
              <w:t>a neutra</w:t>
            </w:r>
          </w:p>
        </w:tc>
        <w:tc>
          <w:tcPr>
            <w:tcW w:w="992" w:type="dxa"/>
            <w:tcBorders>
              <w:top w:val="nil"/>
              <w:left w:val="single" w:sz="4" w:space="0" w:color="auto"/>
              <w:bottom w:val="single" w:sz="4" w:space="0" w:color="auto"/>
              <w:right w:val="nil"/>
            </w:tcBorders>
            <w:shd w:val="clear" w:color="auto" w:fill="auto"/>
            <w:noWrap/>
            <w:vAlign w:val="bottom"/>
            <w:hideMark/>
          </w:tcPr>
          <w:p w14:paraId="5E38033A"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10.000</w:t>
            </w:r>
          </w:p>
        </w:tc>
        <w:tc>
          <w:tcPr>
            <w:tcW w:w="567" w:type="dxa"/>
            <w:tcBorders>
              <w:top w:val="nil"/>
              <w:left w:val="nil"/>
              <w:bottom w:val="single" w:sz="4" w:space="0" w:color="auto"/>
              <w:right w:val="single" w:sz="4" w:space="0" w:color="auto"/>
            </w:tcBorders>
            <w:shd w:val="clear" w:color="auto" w:fill="auto"/>
            <w:noWrap/>
            <w:vAlign w:val="bottom"/>
            <w:hideMark/>
          </w:tcPr>
          <w:p w14:paraId="25E0AE59"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7BD1C1A3" w14:textId="77777777" w:rsidTr="00035FAD">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463C5BAA" w14:textId="77777777" w:rsidR="007166AC" w:rsidRPr="003626AC" w:rsidRDefault="007166AC" w:rsidP="00035FAD">
            <w:pPr>
              <w:rPr>
                <w:rFonts w:eastAsia="Times New Roman"/>
                <w:b/>
                <w:bCs/>
                <w:color w:val="000000"/>
                <w:sz w:val="20"/>
                <w:szCs w:val="20"/>
                <w:lang w:eastAsia="es-ES"/>
              </w:rPr>
            </w:pPr>
          </w:p>
        </w:tc>
        <w:tc>
          <w:tcPr>
            <w:tcW w:w="6591" w:type="dxa"/>
            <w:gridSpan w:val="2"/>
            <w:tcBorders>
              <w:top w:val="single" w:sz="4" w:space="0" w:color="auto"/>
              <w:left w:val="nil"/>
              <w:bottom w:val="single" w:sz="4" w:space="0" w:color="auto"/>
              <w:right w:val="nil"/>
            </w:tcBorders>
            <w:shd w:val="clear" w:color="auto" w:fill="auto"/>
            <w:noWrap/>
            <w:vAlign w:val="bottom"/>
            <w:hideMark/>
          </w:tcPr>
          <w:p w14:paraId="14956ED0" w14:textId="77777777" w:rsidR="007166AC" w:rsidRPr="003626AC" w:rsidRDefault="007166AC" w:rsidP="00035FAD">
            <w:pPr>
              <w:rPr>
                <w:rFonts w:eastAsia="Times New Roman"/>
                <w:b/>
                <w:bCs/>
                <w:color w:val="000000"/>
                <w:sz w:val="20"/>
                <w:szCs w:val="20"/>
                <w:lang w:eastAsia="es-ES"/>
              </w:rPr>
            </w:pPr>
            <w:r w:rsidRPr="003626AC">
              <w:rPr>
                <w:rFonts w:eastAsia="Times New Roman"/>
                <w:b/>
                <w:bCs/>
                <w:color w:val="000000"/>
                <w:sz w:val="20"/>
                <w:szCs w:val="20"/>
                <w:lang w:eastAsia="es-ES"/>
              </w:rPr>
              <w:t>Desenvolupament Rural</w:t>
            </w:r>
          </w:p>
        </w:tc>
        <w:tc>
          <w:tcPr>
            <w:tcW w:w="992" w:type="dxa"/>
            <w:tcBorders>
              <w:top w:val="nil"/>
              <w:left w:val="single" w:sz="4" w:space="0" w:color="auto"/>
              <w:bottom w:val="single" w:sz="4" w:space="0" w:color="auto"/>
              <w:right w:val="nil"/>
            </w:tcBorders>
            <w:shd w:val="clear" w:color="auto" w:fill="auto"/>
            <w:noWrap/>
            <w:vAlign w:val="bottom"/>
            <w:hideMark/>
          </w:tcPr>
          <w:p w14:paraId="43C8E42D"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7.500</w:t>
            </w:r>
          </w:p>
        </w:tc>
        <w:tc>
          <w:tcPr>
            <w:tcW w:w="567" w:type="dxa"/>
            <w:tcBorders>
              <w:top w:val="nil"/>
              <w:left w:val="nil"/>
              <w:bottom w:val="single" w:sz="4" w:space="0" w:color="auto"/>
              <w:right w:val="single" w:sz="4" w:space="0" w:color="auto"/>
            </w:tcBorders>
            <w:shd w:val="clear" w:color="auto" w:fill="auto"/>
            <w:noWrap/>
            <w:vAlign w:val="bottom"/>
            <w:hideMark/>
          </w:tcPr>
          <w:p w14:paraId="0CE6582F"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431ED019" w14:textId="77777777" w:rsidTr="00035FAD">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38FE7DC1" w14:textId="77777777" w:rsidR="007166AC" w:rsidRPr="003626AC" w:rsidRDefault="007166AC" w:rsidP="00035FAD">
            <w:pPr>
              <w:rPr>
                <w:rFonts w:eastAsia="Times New Roman"/>
                <w:b/>
                <w:bCs/>
                <w:color w:val="000000"/>
                <w:sz w:val="20"/>
                <w:szCs w:val="20"/>
                <w:lang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162B328D" w14:textId="30EE139E" w:rsidR="007166AC" w:rsidRPr="003626AC" w:rsidRDefault="007166AC" w:rsidP="00035FAD">
            <w:pPr>
              <w:rPr>
                <w:rFonts w:eastAsia="Times New Roman"/>
                <w:color w:val="000000"/>
                <w:sz w:val="20"/>
                <w:szCs w:val="20"/>
                <w:lang w:eastAsia="es-ES"/>
              </w:rPr>
            </w:pPr>
            <w:r w:rsidRPr="003626AC">
              <w:rPr>
                <w:rFonts w:eastAsia="Times New Roman"/>
                <w:b/>
                <w:bCs/>
                <w:color w:val="000000"/>
                <w:sz w:val="20"/>
                <w:szCs w:val="20"/>
                <w:lang w:eastAsia="es-ES"/>
              </w:rPr>
              <w:t>InvestEU-</w:t>
            </w:r>
            <w:r w:rsidR="00755BD1" w:rsidRPr="003626AC">
              <w:rPr>
                <w:rFonts w:eastAsia="Times New Roman"/>
                <w:b/>
                <w:bCs/>
                <w:color w:val="000000"/>
                <w:sz w:val="20"/>
                <w:szCs w:val="20"/>
                <w:lang w:eastAsia="es-ES"/>
              </w:rPr>
              <w:t xml:space="preserve"> </w:t>
            </w:r>
            <w:r w:rsidRPr="003626AC">
              <w:rPr>
                <w:rFonts w:eastAsia="Times New Roman"/>
                <w:color w:val="000000"/>
                <w:sz w:val="20"/>
                <w:szCs w:val="20"/>
                <w:lang w:eastAsia="es-ES"/>
              </w:rPr>
              <w:t>Provision</w:t>
            </w:r>
            <w:r w:rsidR="00755BD1" w:rsidRPr="003626AC">
              <w:rPr>
                <w:rFonts w:eastAsia="Times New Roman"/>
                <w:color w:val="000000"/>
                <w:sz w:val="20"/>
                <w:szCs w:val="20"/>
                <w:lang w:eastAsia="es-ES"/>
              </w:rPr>
              <w:t>e</w:t>
            </w:r>
            <w:r w:rsidRPr="003626AC">
              <w:rPr>
                <w:rFonts w:eastAsia="Times New Roman"/>
                <w:color w:val="000000"/>
                <w:sz w:val="20"/>
                <w:szCs w:val="20"/>
                <w:lang w:eastAsia="es-ES"/>
              </w:rPr>
              <w:t>s</w:t>
            </w:r>
            <w:r w:rsidR="00755BD1" w:rsidRPr="003626AC">
              <w:rPr>
                <w:rFonts w:eastAsia="Times New Roman"/>
                <w:color w:val="000000"/>
                <w:sz w:val="20"/>
                <w:szCs w:val="20"/>
                <w:lang w:eastAsia="es-ES"/>
              </w:rPr>
              <w:t>,</w:t>
            </w:r>
            <w:r w:rsidRPr="003626AC">
              <w:rPr>
                <w:rFonts w:eastAsia="Times New Roman"/>
                <w:color w:val="000000"/>
                <w:sz w:val="20"/>
                <w:szCs w:val="20"/>
                <w:lang w:eastAsia="es-ES"/>
              </w:rPr>
              <w:t xml:space="preserve"> garant</w:t>
            </w:r>
            <w:r w:rsidR="00755BD1" w:rsidRPr="003626AC">
              <w:rPr>
                <w:rFonts w:eastAsia="Times New Roman"/>
                <w:color w:val="000000"/>
                <w:sz w:val="20"/>
                <w:szCs w:val="20"/>
                <w:lang w:eastAsia="es-ES"/>
              </w:rPr>
              <w:t>ía</w:t>
            </w:r>
            <w:r w:rsidRPr="003626AC">
              <w:rPr>
                <w:rFonts w:eastAsia="Times New Roman"/>
                <w:color w:val="000000"/>
                <w:sz w:val="20"/>
                <w:szCs w:val="20"/>
                <w:lang w:eastAsia="es-ES"/>
              </w:rPr>
              <w:t>s presup</w:t>
            </w:r>
            <w:r w:rsidR="00755BD1" w:rsidRPr="003626AC">
              <w:rPr>
                <w:rFonts w:eastAsia="Times New Roman"/>
                <w:color w:val="000000"/>
                <w:sz w:val="20"/>
                <w:szCs w:val="20"/>
                <w:lang w:eastAsia="es-ES"/>
              </w:rPr>
              <w:t>ues</w:t>
            </w:r>
            <w:r w:rsidRPr="003626AC">
              <w:rPr>
                <w:rFonts w:eastAsia="Times New Roman"/>
                <w:color w:val="000000"/>
                <w:sz w:val="20"/>
                <w:szCs w:val="20"/>
                <w:lang w:eastAsia="es-ES"/>
              </w:rPr>
              <w:t>t</w:t>
            </w:r>
            <w:r w:rsidR="00755BD1" w:rsidRPr="003626AC">
              <w:rPr>
                <w:rFonts w:eastAsia="Times New Roman"/>
                <w:color w:val="000000"/>
                <w:sz w:val="20"/>
                <w:szCs w:val="20"/>
                <w:lang w:eastAsia="es-ES"/>
              </w:rPr>
              <w:t>a</w:t>
            </w:r>
            <w:r w:rsidRPr="003626AC">
              <w:rPr>
                <w:rFonts w:eastAsia="Times New Roman"/>
                <w:color w:val="000000"/>
                <w:sz w:val="20"/>
                <w:szCs w:val="20"/>
                <w:lang w:eastAsia="es-ES"/>
              </w:rPr>
              <w:t>r</w:t>
            </w:r>
            <w:r w:rsidR="00755BD1" w:rsidRPr="003626AC">
              <w:rPr>
                <w:rFonts w:eastAsia="Times New Roman"/>
                <w:color w:val="000000"/>
                <w:sz w:val="20"/>
                <w:szCs w:val="20"/>
                <w:lang w:eastAsia="es-ES"/>
              </w:rPr>
              <w:t>ias y gastos</w:t>
            </w:r>
          </w:p>
        </w:tc>
        <w:tc>
          <w:tcPr>
            <w:tcW w:w="992" w:type="dxa"/>
            <w:tcBorders>
              <w:top w:val="nil"/>
              <w:left w:val="single" w:sz="4" w:space="0" w:color="auto"/>
              <w:bottom w:val="single" w:sz="4" w:space="0" w:color="auto"/>
              <w:right w:val="nil"/>
            </w:tcBorders>
            <w:shd w:val="clear" w:color="auto" w:fill="auto"/>
            <w:noWrap/>
            <w:vAlign w:val="bottom"/>
            <w:hideMark/>
          </w:tcPr>
          <w:p w14:paraId="123F121C" w14:textId="77777777" w:rsidR="007166AC" w:rsidRPr="003626AC" w:rsidRDefault="007166AC" w:rsidP="00035FAD">
            <w:pPr>
              <w:jc w:val="right"/>
              <w:rPr>
                <w:rFonts w:eastAsia="Times New Roman"/>
                <w:color w:val="000000"/>
                <w:sz w:val="20"/>
                <w:szCs w:val="20"/>
                <w:lang w:eastAsia="es-ES"/>
              </w:rPr>
            </w:pPr>
            <w:r w:rsidRPr="003626AC">
              <w:rPr>
                <w:rFonts w:eastAsia="Times New Roman"/>
                <w:color w:val="000000"/>
                <w:sz w:val="20"/>
                <w:szCs w:val="20"/>
                <w:lang w:eastAsia="es-ES"/>
              </w:rPr>
              <w:t>5.600</w:t>
            </w:r>
          </w:p>
        </w:tc>
        <w:tc>
          <w:tcPr>
            <w:tcW w:w="567" w:type="dxa"/>
            <w:tcBorders>
              <w:top w:val="nil"/>
              <w:left w:val="nil"/>
              <w:bottom w:val="single" w:sz="4" w:space="0" w:color="auto"/>
              <w:right w:val="single" w:sz="4" w:space="0" w:color="auto"/>
            </w:tcBorders>
            <w:shd w:val="clear" w:color="auto" w:fill="auto"/>
            <w:noWrap/>
            <w:vAlign w:val="bottom"/>
            <w:hideMark/>
          </w:tcPr>
          <w:p w14:paraId="18A66935" w14:textId="77777777" w:rsidR="007166AC" w:rsidRPr="003626AC" w:rsidRDefault="007166AC" w:rsidP="00035FAD">
            <w:pPr>
              <w:rPr>
                <w:rFonts w:eastAsia="Times New Roman"/>
                <w:color w:val="000000"/>
                <w:sz w:val="20"/>
                <w:szCs w:val="20"/>
                <w:lang w:eastAsia="es-ES"/>
              </w:rPr>
            </w:pPr>
            <w:r w:rsidRPr="003626AC">
              <w:rPr>
                <w:rFonts w:eastAsia="Times New Roman"/>
                <w:color w:val="000000"/>
                <w:sz w:val="20"/>
                <w:szCs w:val="20"/>
                <w:lang w:eastAsia="es-ES"/>
              </w:rPr>
              <w:t>M€</w:t>
            </w:r>
          </w:p>
        </w:tc>
      </w:tr>
      <w:tr w:rsidR="007166AC" w:rsidRPr="003626AC" w14:paraId="6DC778A2" w14:textId="77777777" w:rsidTr="00035FAD">
        <w:trPr>
          <w:trHeight w:val="290"/>
        </w:trPr>
        <w:tc>
          <w:tcPr>
            <w:tcW w:w="2056" w:type="dxa"/>
            <w:tcBorders>
              <w:top w:val="nil"/>
              <w:left w:val="nil"/>
              <w:bottom w:val="nil"/>
              <w:right w:val="nil"/>
            </w:tcBorders>
            <w:shd w:val="clear" w:color="auto" w:fill="auto"/>
            <w:noWrap/>
            <w:vAlign w:val="bottom"/>
            <w:hideMark/>
          </w:tcPr>
          <w:p w14:paraId="1022319E" w14:textId="77777777" w:rsidR="007166AC" w:rsidRPr="003626AC" w:rsidRDefault="007166AC" w:rsidP="00035FAD">
            <w:pPr>
              <w:rPr>
                <w:rFonts w:eastAsia="Times New Roman"/>
                <w:color w:val="000000"/>
                <w:sz w:val="20"/>
                <w:szCs w:val="20"/>
                <w:lang w:eastAsia="es-ES"/>
              </w:rPr>
            </w:pPr>
          </w:p>
        </w:tc>
        <w:tc>
          <w:tcPr>
            <w:tcW w:w="1772" w:type="dxa"/>
            <w:tcBorders>
              <w:top w:val="nil"/>
              <w:left w:val="nil"/>
              <w:bottom w:val="nil"/>
              <w:right w:val="nil"/>
            </w:tcBorders>
            <w:shd w:val="clear" w:color="auto" w:fill="auto"/>
            <w:noWrap/>
            <w:vAlign w:val="bottom"/>
            <w:hideMark/>
          </w:tcPr>
          <w:p w14:paraId="0AD62868" w14:textId="77777777" w:rsidR="007166AC" w:rsidRPr="003626AC" w:rsidRDefault="007166AC" w:rsidP="00035FAD">
            <w:pPr>
              <w:rPr>
                <w:rFonts w:ascii="Times New Roman" w:eastAsia="Times New Roman" w:hAnsi="Times New Roman" w:cs="Times New Roman"/>
                <w:sz w:val="20"/>
                <w:szCs w:val="20"/>
                <w:lang w:eastAsia="es-ES"/>
              </w:rPr>
            </w:pPr>
          </w:p>
        </w:tc>
        <w:tc>
          <w:tcPr>
            <w:tcW w:w="4819" w:type="dxa"/>
            <w:tcBorders>
              <w:top w:val="nil"/>
              <w:left w:val="nil"/>
              <w:bottom w:val="nil"/>
              <w:right w:val="nil"/>
            </w:tcBorders>
            <w:shd w:val="clear" w:color="auto" w:fill="auto"/>
            <w:noWrap/>
            <w:vAlign w:val="bottom"/>
            <w:hideMark/>
          </w:tcPr>
          <w:p w14:paraId="54D8E57D" w14:textId="77777777" w:rsidR="007166AC" w:rsidRPr="003626AC" w:rsidRDefault="007166AC" w:rsidP="00035FAD">
            <w:pPr>
              <w:jc w:val="right"/>
              <w:rPr>
                <w:rFonts w:eastAsia="Times New Roman"/>
                <w:b/>
                <w:bCs/>
                <w:color w:val="000000"/>
                <w:sz w:val="20"/>
                <w:szCs w:val="20"/>
                <w:lang w:eastAsia="es-ES"/>
              </w:rPr>
            </w:pPr>
            <w:proofErr w:type="gramStart"/>
            <w:r w:rsidRPr="003626AC">
              <w:rPr>
                <w:rFonts w:eastAsia="Times New Roman"/>
                <w:b/>
                <w:bCs/>
                <w:color w:val="000000"/>
                <w:sz w:val="20"/>
                <w:szCs w:val="20"/>
                <w:lang w:eastAsia="es-ES"/>
              </w:rPr>
              <w:t>TOTAL</w:t>
            </w:r>
            <w:proofErr w:type="gramEnd"/>
            <w:r w:rsidRPr="003626AC">
              <w:rPr>
                <w:rFonts w:eastAsia="Times New Roman"/>
                <w:b/>
                <w:bCs/>
                <w:color w:val="000000"/>
                <w:sz w:val="20"/>
                <w:szCs w:val="20"/>
                <w:lang w:eastAsia="es-ES"/>
              </w:rPr>
              <w:t xml:space="preserve"> UE</w:t>
            </w:r>
          </w:p>
        </w:tc>
        <w:tc>
          <w:tcPr>
            <w:tcW w:w="992" w:type="dxa"/>
            <w:tcBorders>
              <w:top w:val="nil"/>
              <w:left w:val="single" w:sz="4" w:space="0" w:color="auto"/>
              <w:bottom w:val="single" w:sz="4" w:space="0" w:color="auto"/>
              <w:right w:val="nil"/>
            </w:tcBorders>
            <w:shd w:val="clear" w:color="auto" w:fill="auto"/>
            <w:noWrap/>
            <w:vAlign w:val="bottom"/>
            <w:hideMark/>
          </w:tcPr>
          <w:p w14:paraId="1FE8BFBC" w14:textId="77777777" w:rsidR="007166AC" w:rsidRPr="003626AC" w:rsidRDefault="007166AC" w:rsidP="00035FAD">
            <w:pPr>
              <w:jc w:val="right"/>
              <w:rPr>
                <w:rFonts w:eastAsia="Times New Roman"/>
                <w:b/>
                <w:bCs/>
                <w:color w:val="000000"/>
                <w:sz w:val="20"/>
                <w:szCs w:val="20"/>
                <w:lang w:eastAsia="es-ES"/>
              </w:rPr>
            </w:pPr>
            <w:r w:rsidRPr="003626AC">
              <w:rPr>
                <w:rFonts w:eastAsia="Times New Roman"/>
                <w:b/>
                <w:bCs/>
                <w:color w:val="000000"/>
                <w:sz w:val="20"/>
                <w:szCs w:val="20"/>
                <w:lang w:eastAsia="es-ES"/>
              </w:rPr>
              <w:t>750.000</w:t>
            </w:r>
          </w:p>
        </w:tc>
        <w:tc>
          <w:tcPr>
            <w:tcW w:w="567" w:type="dxa"/>
            <w:tcBorders>
              <w:top w:val="nil"/>
              <w:left w:val="nil"/>
              <w:bottom w:val="single" w:sz="4" w:space="0" w:color="auto"/>
              <w:right w:val="single" w:sz="4" w:space="0" w:color="auto"/>
            </w:tcBorders>
            <w:shd w:val="clear" w:color="auto" w:fill="auto"/>
            <w:noWrap/>
            <w:vAlign w:val="bottom"/>
            <w:hideMark/>
          </w:tcPr>
          <w:p w14:paraId="3F10422C" w14:textId="77777777" w:rsidR="007166AC" w:rsidRPr="003626AC" w:rsidRDefault="007166AC" w:rsidP="00035FAD">
            <w:pPr>
              <w:rPr>
                <w:rFonts w:eastAsia="Times New Roman"/>
                <w:b/>
                <w:bCs/>
                <w:color w:val="000000"/>
                <w:sz w:val="20"/>
                <w:szCs w:val="20"/>
                <w:lang w:eastAsia="es-ES"/>
              </w:rPr>
            </w:pPr>
            <w:r w:rsidRPr="003626AC">
              <w:rPr>
                <w:rFonts w:eastAsia="Times New Roman"/>
                <w:b/>
                <w:bCs/>
                <w:color w:val="000000"/>
                <w:sz w:val="20"/>
                <w:szCs w:val="20"/>
                <w:lang w:eastAsia="es-ES"/>
              </w:rPr>
              <w:t>M€</w:t>
            </w:r>
          </w:p>
        </w:tc>
      </w:tr>
    </w:tbl>
    <w:p w14:paraId="186BD936" w14:textId="77777777" w:rsidR="007166AC" w:rsidRPr="003626AC" w:rsidRDefault="007166AC" w:rsidP="007166AC">
      <w:pPr>
        <w:rPr>
          <w:rFonts w:eastAsia="Calibri" w:cs="Times New Roman"/>
        </w:rPr>
      </w:pPr>
    </w:p>
    <w:p w14:paraId="1CCE5520" w14:textId="77777777" w:rsidR="00D117D7" w:rsidRPr="003626AC" w:rsidRDefault="00D117D7" w:rsidP="00D117D7">
      <w:pPr>
        <w:jc w:val="both"/>
        <w:rPr>
          <w:rFonts w:eastAsia="Calibri" w:cs="Times New Roman"/>
        </w:rPr>
      </w:pPr>
      <w:r w:rsidRPr="003626AC">
        <w:rPr>
          <w:rFonts w:eastAsia="Calibri" w:cs="Times New Roman"/>
        </w:rPr>
        <w:t>El RDL 36/2020 se dicta con el principal objetivo de facilitar y agilizar la programación, gestión y ejecución de los proyectos y actuaciones financiables con el Instrumento Europeo de Recuperación (Next Generation EU), aprobado por el Consejo Europeo del pasado 21 de julio. El Instrumento Europeo de Recuperación</w:t>
      </w:r>
      <w:r w:rsidRPr="003626AC">
        <w:rPr>
          <w:rFonts w:eastAsia="Calibri"/>
        </w:rPr>
        <w:t xml:space="preserve"> </w:t>
      </w:r>
      <w:r w:rsidR="00093FFD" w:rsidRPr="003626AC">
        <w:rPr>
          <w:rFonts w:eastAsia="Calibri"/>
        </w:rPr>
        <w:t xml:space="preserve">(IER) </w:t>
      </w:r>
      <w:r w:rsidRPr="003626AC">
        <w:rPr>
          <w:rFonts w:eastAsia="Calibri" w:cs="Times New Roman"/>
        </w:rPr>
        <w:t xml:space="preserve">va a implicar para España unos 140.000 millones de euros en forma de transferencias (72.000 M €) y préstamos (68.000 M €) para el período 2021-2026. El Instrumento se desglosa en dos fondos: el Mecanismo para la Recuperación y la Resiliencia (MRR) y el fondo REACT EU. </w:t>
      </w:r>
    </w:p>
    <w:p w14:paraId="32A468F2" w14:textId="77777777" w:rsidR="00D117D7" w:rsidRPr="003626AC" w:rsidRDefault="00D117D7" w:rsidP="00D117D7">
      <w:pPr>
        <w:jc w:val="both"/>
        <w:rPr>
          <w:rFonts w:eastAsia="Calibri" w:cs="Times New Roman"/>
        </w:rPr>
      </w:pPr>
    </w:p>
    <w:p w14:paraId="685AC7DB" w14:textId="77777777" w:rsidR="00D117D7" w:rsidRPr="003626AC" w:rsidRDefault="00D117D7" w:rsidP="00D117D7">
      <w:pPr>
        <w:jc w:val="both"/>
        <w:rPr>
          <w:rFonts w:eastAsia="Calibri" w:cs="Times New Roman"/>
        </w:rPr>
      </w:pPr>
      <w:r w:rsidRPr="003626AC">
        <w:rPr>
          <w:rFonts w:eastAsia="Calibri" w:cs="Times New Roman"/>
        </w:rPr>
        <w:t>Esto es muy relevante, ya que, si el IER va a suponer para España 140.000 millones, la ejecución de los Fondos de Cohesión para el periodo 2014/2020 asciende en estos momentos a 15.574 millones, un 39% del total. La capacidad de absorción de fondos se va a poner a prueba de manera muy severa debido a los solapamientos de</w:t>
      </w:r>
      <w:r w:rsidR="003A0E5A" w:rsidRPr="003626AC">
        <w:rPr>
          <w:rFonts w:eastAsia="Calibri" w:cs="Times New Roman"/>
        </w:rPr>
        <w:t xml:space="preserve"> las siguientes circunstancias:</w:t>
      </w:r>
    </w:p>
    <w:p w14:paraId="7DB20262" w14:textId="77777777" w:rsidR="00D117D7" w:rsidRPr="003626AC" w:rsidRDefault="00D117D7" w:rsidP="00D117D7">
      <w:pPr>
        <w:jc w:val="both"/>
        <w:rPr>
          <w:rFonts w:eastAsia="Calibri" w:cs="Times New Roman"/>
        </w:rPr>
      </w:pPr>
    </w:p>
    <w:p w14:paraId="31126409" w14:textId="77777777" w:rsidR="00D117D7" w:rsidRPr="003626AC" w:rsidRDefault="00D117D7" w:rsidP="00D117D7">
      <w:pPr>
        <w:numPr>
          <w:ilvl w:val="0"/>
          <w:numId w:val="9"/>
        </w:numPr>
        <w:jc w:val="both"/>
        <w:rPr>
          <w:rFonts w:eastAsia="Calibri" w:cs="Times New Roman"/>
        </w:rPr>
      </w:pPr>
      <w:r w:rsidRPr="003626AC">
        <w:rPr>
          <w:rFonts w:eastAsia="Calibri" w:cs="Times New Roman"/>
        </w:rPr>
        <w:t>A la financiación del periodo 2014/2020, además del retraso en la ejecución, se le va a sumar el efecto de la financiación adicional REACT-EU, que tendrá que estar ejecutada en 2022.</w:t>
      </w:r>
    </w:p>
    <w:p w14:paraId="29947F9E" w14:textId="77777777" w:rsidR="00D117D7" w:rsidRPr="003626AC" w:rsidRDefault="00D117D7" w:rsidP="00D117D7">
      <w:pPr>
        <w:numPr>
          <w:ilvl w:val="0"/>
          <w:numId w:val="9"/>
        </w:numPr>
        <w:jc w:val="both"/>
        <w:rPr>
          <w:rFonts w:eastAsia="Calibri" w:cs="Times New Roman"/>
        </w:rPr>
      </w:pPr>
      <w:r w:rsidRPr="003626AC">
        <w:rPr>
          <w:rFonts w:eastAsia="Calibri" w:cs="Times New Roman"/>
        </w:rPr>
        <w:t>Inicio del nuevo MFP 2021-2027, que supone 1,1 billones de euros, y</w:t>
      </w:r>
    </w:p>
    <w:p w14:paraId="40F09BC7" w14:textId="77777777" w:rsidR="00D117D7" w:rsidRPr="003626AC" w:rsidRDefault="00D117D7" w:rsidP="00D117D7">
      <w:pPr>
        <w:numPr>
          <w:ilvl w:val="0"/>
          <w:numId w:val="9"/>
        </w:numPr>
        <w:jc w:val="both"/>
        <w:rPr>
          <w:rFonts w:eastAsia="Calibri" w:cs="Times New Roman"/>
        </w:rPr>
      </w:pPr>
      <w:r w:rsidRPr="003626AC">
        <w:rPr>
          <w:rFonts w:eastAsia="Calibri" w:cs="Times New Roman"/>
        </w:rPr>
        <w:t>Ejecución del Mecanismo de Recuperación y Resiliencia para el periodo 2021/2026</w:t>
      </w:r>
    </w:p>
    <w:p w14:paraId="6994F0CA" w14:textId="77777777" w:rsidR="00D117D7" w:rsidRPr="003626AC" w:rsidRDefault="00D117D7" w:rsidP="00D117D7">
      <w:pPr>
        <w:jc w:val="both"/>
        <w:rPr>
          <w:rFonts w:eastAsia="Calibri" w:cs="Times New Roman"/>
        </w:rPr>
      </w:pPr>
    </w:p>
    <w:p w14:paraId="11E66AE0" w14:textId="77777777" w:rsidR="00D117D7" w:rsidRPr="003626AC" w:rsidRDefault="00D117D7" w:rsidP="00D117D7">
      <w:pPr>
        <w:jc w:val="both"/>
        <w:rPr>
          <w:rFonts w:eastAsia="Calibri" w:cs="Times New Roman"/>
        </w:rPr>
      </w:pPr>
      <w:r w:rsidRPr="003626AC">
        <w:rPr>
          <w:rFonts w:eastAsia="Calibri" w:cs="Times New Roman"/>
        </w:rPr>
        <w:t xml:space="preserve">Al objeto de materializar estas previsiones europeas en el ámbito interno, el Gobierno ha elaborado el Plan de Recuperación, Transformación y Resiliencia (PRTR), que debe ser aprobado por el Consejo de Ministros para su adopción y presentación formal ante las instituciones europeas. </w:t>
      </w:r>
    </w:p>
    <w:p w14:paraId="4F9EBFA8" w14:textId="77777777" w:rsidR="00D117D7" w:rsidRPr="003626AC" w:rsidRDefault="00D117D7" w:rsidP="00D117D7">
      <w:pPr>
        <w:jc w:val="both"/>
        <w:rPr>
          <w:rFonts w:eastAsia="Calibri" w:cs="Times New Roman"/>
          <w:b/>
          <w:bCs/>
          <w:u w:val="single"/>
        </w:rPr>
      </w:pPr>
      <w:r w:rsidRPr="003626AC">
        <w:rPr>
          <w:rFonts w:eastAsia="Calibri" w:cs="Times New Roman"/>
          <w:b/>
          <w:bCs/>
          <w:u w:val="single"/>
        </w:rPr>
        <w:lastRenderedPageBreak/>
        <w:t>RDL 36/2020</w:t>
      </w:r>
      <w:r w:rsidR="00093FFD" w:rsidRPr="003626AC">
        <w:rPr>
          <w:rFonts w:eastAsia="Calibri" w:cs="Times New Roman"/>
          <w:b/>
          <w:bCs/>
          <w:u w:val="single"/>
        </w:rPr>
        <w:t>, DE 30 DE DICIEMBRE, POR EL QUE SE APRUEBAN MEDIDAS URGENTES PARA LA MODERNIZACIÓN DE LA ADMINISTRACIÓN PÚBLICA Y PARA LA EJECUCIÓN DEL PLAN DE RECUPERACIÓN, TRANSFORMACIÓN Y RESILIENCIA</w:t>
      </w:r>
      <w:r w:rsidRPr="003626AC">
        <w:rPr>
          <w:rFonts w:eastAsia="Calibri" w:cs="Times New Roman"/>
          <w:b/>
          <w:bCs/>
          <w:u w:val="single"/>
        </w:rPr>
        <w:t xml:space="preserve"> Y NORMATIVA RELACIONADA</w:t>
      </w:r>
    </w:p>
    <w:p w14:paraId="182B7749" w14:textId="77777777" w:rsidR="00093FFD" w:rsidRPr="003626AC" w:rsidRDefault="00093FFD" w:rsidP="00D117D7">
      <w:pPr>
        <w:jc w:val="both"/>
        <w:rPr>
          <w:rFonts w:eastAsia="Calibri" w:cs="Times New Roman"/>
        </w:rPr>
      </w:pPr>
    </w:p>
    <w:p w14:paraId="568BEA88" w14:textId="77777777" w:rsidR="00D117D7" w:rsidRPr="003626AC" w:rsidRDefault="00D117D7" w:rsidP="00D117D7">
      <w:pPr>
        <w:jc w:val="both"/>
        <w:rPr>
          <w:rFonts w:eastAsia="Calibri" w:cs="Times New Roman"/>
        </w:rPr>
      </w:pPr>
      <w:r w:rsidRPr="003626AC">
        <w:rPr>
          <w:rFonts w:eastAsia="Calibri" w:cs="Times New Roman"/>
        </w:rPr>
        <w:t>La finalidad a la que se dirige este RDL está igualmente relacionada con dos normas que se publican en el BOE el mismo día: la Ley 11/2020 de Presupuestos para 2021 y el RD 177/2020, por el que se reestructura la Presidencia del Gobierno.</w:t>
      </w:r>
    </w:p>
    <w:p w14:paraId="50B15A64" w14:textId="77777777" w:rsidR="00D117D7" w:rsidRPr="003626AC" w:rsidRDefault="00D117D7" w:rsidP="00D117D7">
      <w:pPr>
        <w:jc w:val="both"/>
        <w:rPr>
          <w:rFonts w:eastAsia="Calibri" w:cs="Times New Roman"/>
        </w:rPr>
      </w:pPr>
    </w:p>
    <w:p w14:paraId="3EE59940" w14:textId="77777777" w:rsidR="00D117D7" w:rsidRPr="003626AC" w:rsidRDefault="00D117D7" w:rsidP="00D117D7">
      <w:pPr>
        <w:jc w:val="both"/>
        <w:rPr>
          <w:rFonts w:eastAsia="Calibri" w:cs="Times New Roman"/>
        </w:rPr>
      </w:pPr>
      <w:r w:rsidRPr="003626AC">
        <w:rPr>
          <w:rFonts w:eastAsia="Calibri" w:cs="Times New Roman"/>
          <w:b/>
          <w:bCs/>
        </w:rPr>
        <w:t xml:space="preserve">Los PGE incorporan modificaciones normativas de calado </w:t>
      </w:r>
      <w:r w:rsidRPr="003626AC">
        <w:rPr>
          <w:rFonts w:eastAsia="Calibri" w:cs="Times New Roman"/>
        </w:rPr>
        <w:t xml:space="preserve">necesarias para implementar las previsiones del RDL 36/2020, y el RD 177/2020 introduce modificaciones en la estructura del gobierno de la nación para aplicar la estructura de gobernanza necesaria para implementar el PRTR. </w:t>
      </w:r>
    </w:p>
    <w:p w14:paraId="09350DCF" w14:textId="77777777" w:rsidR="00D117D7" w:rsidRPr="003626AC" w:rsidRDefault="00D117D7" w:rsidP="00D117D7">
      <w:pPr>
        <w:jc w:val="both"/>
        <w:rPr>
          <w:rFonts w:eastAsia="Calibri" w:cs="Times New Roman"/>
        </w:rPr>
      </w:pPr>
    </w:p>
    <w:p w14:paraId="535F84B5"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La gestión y ejecución de los proyectos con cargo a los fondos europeos va a comenzar de inmediato, dado que los PGE ya incluyen el anticipo de alrededor de 26.000 millones de euros con cargo a dichos fondos.</w:t>
      </w:r>
    </w:p>
    <w:p w14:paraId="1272EAAD" w14:textId="77777777" w:rsidR="00D117D7" w:rsidRPr="003626AC" w:rsidRDefault="00D117D7" w:rsidP="00D117D7">
      <w:pPr>
        <w:jc w:val="both"/>
        <w:rPr>
          <w:rFonts w:eastAsia="Calibri" w:cs="Times New Roman"/>
        </w:rPr>
      </w:pPr>
    </w:p>
    <w:p w14:paraId="5DA196EF"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Los PGE han creado en cada Departamento ministerial afectado, un servicio específico para la gestión presupuestaria del Mecanismo de Recuperación y Resiliencia, el servicio 50, y otro para la «Ayuda a la recuperación para la cohesión y los territorios de Europa (REACT-EU)», el servicio 51.</w:t>
      </w:r>
    </w:p>
    <w:p w14:paraId="1B282F7C" w14:textId="77777777" w:rsidR="00D117D7" w:rsidRPr="003626AC" w:rsidRDefault="00D117D7" w:rsidP="00D117D7">
      <w:pPr>
        <w:jc w:val="both"/>
        <w:rPr>
          <w:rFonts w:eastAsia="Calibri" w:cs="Times New Roman"/>
        </w:rPr>
      </w:pPr>
    </w:p>
    <w:p w14:paraId="6FB267A9"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Para asegurar la correcta absorción de fondos FEDER para el periodo 2014-2020, en virtud de la DAd6ª se prevén las oportunas reservas de crédito para financiar en el ejercicio 2021 las actuaciones cofinanciadas por el FEDER</w:t>
      </w:r>
    </w:p>
    <w:p w14:paraId="2A3FA067" w14:textId="77777777" w:rsidR="00D117D7" w:rsidRPr="003626AC" w:rsidRDefault="00D117D7" w:rsidP="00D117D7">
      <w:pPr>
        <w:jc w:val="both"/>
        <w:rPr>
          <w:rFonts w:eastAsia="Calibri" w:cs="Times New Roman"/>
        </w:rPr>
      </w:pPr>
    </w:p>
    <w:p w14:paraId="65F9595F"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Excepcionalmente en 2021 se podrá autorizar a las Comunidades Autónomas el incremento de su nivel de endeudamiento neto al cierre del ejercicio para cubrir los desfases temporales de recursos necesarios para el rápido despliegue y ejecución de REACT-UE (DAd 112ª)</w:t>
      </w:r>
    </w:p>
    <w:p w14:paraId="29E67611" w14:textId="77777777" w:rsidR="00D117D7" w:rsidRPr="003626AC" w:rsidRDefault="00D117D7" w:rsidP="00D117D7">
      <w:pPr>
        <w:jc w:val="both"/>
        <w:rPr>
          <w:rFonts w:eastAsia="Calibri" w:cs="Times New Roman"/>
        </w:rPr>
      </w:pPr>
    </w:p>
    <w:p w14:paraId="094C3AE1"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La DF7ª modifica la LGP para contemplar la creación de las Agencias estatales, que figuraba en anteriores borradores del RDL, y modificar el régimen aplicable a convenios y créditos relacionados con FEADER y FEP gestionados por las CCAA</w:t>
      </w:r>
    </w:p>
    <w:p w14:paraId="4C7B6EE7" w14:textId="77777777" w:rsidR="00D117D7" w:rsidRPr="003626AC" w:rsidRDefault="00D117D7" w:rsidP="00D117D7">
      <w:pPr>
        <w:jc w:val="both"/>
        <w:rPr>
          <w:rFonts w:eastAsia="Calibri" w:cs="Times New Roman"/>
        </w:rPr>
      </w:pPr>
    </w:p>
    <w:p w14:paraId="365A715B"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La DF29ª modifica el RDL 17/2014 de sostenibilidad financiera para la creación del</w:t>
      </w:r>
      <w:r w:rsidRPr="003626AC">
        <w:rPr>
          <w:rFonts w:eastAsia="Calibri"/>
        </w:rPr>
        <w:t xml:space="preserve"> </w:t>
      </w:r>
      <w:r w:rsidRPr="003626AC">
        <w:rPr>
          <w:rFonts w:eastAsia="Calibri" w:cs="Times New Roman"/>
        </w:rPr>
        <w:t xml:space="preserve">Compartimento Fondo de Liquidez REACT-UE del Fondo de Financiación a Comunidades Autónomas, cuyo objeto es proporcionar a las </w:t>
      </w:r>
      <w:proofErr w:type="gramStart"/>
      <w:r w:rsidRPr="003626AC">
        <w:rPr>
          <w:rFonts w:eastAsia="Calibri" w:cs="Times New Roman"/>
        </w:rPr>
        <w:t>CCAA  que</w:t>
      </w:r>
      <w:proofErr w:type="gramEnd"/>
      <w:r w:rsidRPr="003626AC">
        <w:rPr>
          <w:rFonts w:eastAsia="Calibri" w:cs="Times New Roman"/>
        </w:rPr>
        <w:t xml:space="preserve"> se adhieran al mismo, financiación y liquidez financiera para el rápido despliegue y ejecución de  REACT-UE. Esta financiación no tendrá carácter condicionado por lo que será responsabilidad de las CCAA</w:t>
      </w:r>
    </w:p>
    <w:p w14:paraId="46BB76F1"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destinar estos recursos a la finalidad para la que se desembolsen, mediante la oportuna operación de crédito con el Estado, a través del ICO.</w:t>
      </w:r>
    </w:p>
    <w:p w14:paraId="20CECEF3" w14:textId="77777777" w:rsidR="00D117D7" w:rsidRPr="003626AC" w:rsidRDefault="00D117D7" w:rsidP="00D117D7">
      <w:pPr>
        <w:jc w:val="both"/>
        <w:rPr>
          <w:rFonts w:eastAsia="Calibri" w:cs="Times New Roman"/>
        </w:rPr>
      </w:pPr>
    </w:p>
    <w:p w14:paraId="38E5FA1F" w14:textId="77777777" w:rsidR="00D117D7" w:rsidRPr="003626AC" w:rsidRDefault="00D117D7" w:rsidP="00D117D7">
      <w:pPr>
        <w:numPr>
          <w:ilvl w:val="0"/>
          <w:numId w:val="10"/>
        </w:numPr>
        <w:jc w:val="both"/>
        <w:rPr>
          <w:rFonts w:eastAsia="Calibri" w:cs="Times New Roman"/>
        </w:rPr>
      </w:pPr>
      <w:r w:rsidRPr="003626AC">
        <w:rPr>
          <w:rFonts w:eastAsia="Calibri" w:cs="Times New Roman"/>
        </w:rPr>
        <w:t>DF34ª modifica la Ley 40/2015 de Régimen Jurídico del Sector Público para incorporar la regulación de las Agencias Estatales</w:t>
      </w:r>
    </w:p>
    <w:p w14:paraId="69B959CA" w14:textId="77777777" w:rsidR="00D117D7" w:rsidRPr="003626AC" w:rsidRDefault="00D117D7" w:rsidP="00D117D7">
      <w:pPr>
        <w:jc w:val="both"/>
        <w:rPr>
          <w:rFonts w:eastAsia="Calibri" w:cs="Times New Roman"/>
        </w:rPr>
      </w:pPr>
    </w:p>
    <w:p w14:paraId="06B6951F" w14:textId="77777777" w:rsidR="00093FFD" w:rsidRPr="003626AC" w:rsidRDefault="00D117D7" w:rsidP="00822D40">
      <w:pPr>
        <w:numPr>
          <w:ilvl w:val="0"/>
          <w:numId w:val="10"/>
        </w:numPr>
        <w:jc w:val="both"/>
        <w:rPr>
          <w:rFonts w:eastAsia="Calibri" w:cs="Times New Roman"/>
        </w:rPr>
      </w:pPr>
      <w:r w:rsidRPr="003626AC">
        <w:rPr>
          <w:rFonts w:eastAsia="Calibri" w:cs="Times New Roman"/>
        </w:rPr>
        <w:t xml:space="preserve">La DF40ª modifica la LCSP en cuanto al régimen de los encargos a medios propios. El umbral aplicable al procedimiento abierto simplificado (art. 159 LCSP) sube de 100.000€ a 139.000€. Se modifica el artículo 321 LCSP relativo a la contratación de los entes del </w:t>
      </w:r>
    </w:p>
    <w:p w14:paraId="2583679B" w14:textId="77777777" w:rsidR="00D117D7" w:rsidRPr="003626AC" w:rsidRDefault="00D117D7" w:rsidP="00093FFD">
      <w:pPr>
        <w:ind w:left="720"/>
        <w:jc w:val="both"/>
        <w:rPr>
          <w:rFonts w:eastAsia="Calibri" w:cs="Times New Roman"/>
        </w:rPr>
      </w:pPr>
      <w:r w:rsidRPr="003626AC">
        <w:rPr>
          <w:rFonts w:eastAsia="Calibri" w:cs="Times New Roman"/>
        </w:rPr>
        <w:t>sector público excluyendo las relaciones jurídicas internas entre sociedades del mismo grupo que no sean poder adjudicador.</w:t>
      </w:r>
    </w:p>
    <w:p w14:paraId="3D2A78A1" w14:textId="77777777" w:rsidR="00D117D7" w:rsidRPr="003626AC" w:rsidRDefault="00D117D7" w:rsidP="00D117D7">
      <w:pPr>
        <w:jc w:val="both"/>
        <w:rPr>
          <w:rFonts w:eastAsia="Calibri" w:cs="Times New Roman"/>
        </w:rPr>
      </w:pPr>
    </w:p>
    <w:p w14:paraId="216291BB" w14:textId="77777777" w:rsidR="00D117D7" w:rsidRPr="003626AC" w:rsidRDefault="00D117D7" w:rsidP="00D117D7">
      <w:pPr>
        <w:jc w:val="both"/>
        <w:rPr>
          <w:rFonts w:eastAsia="Calibri" w:cs="Times New Roman"/>
          <w:b/>
          <w:bCs/>
        </w:rPr>
      </w:pPr>
    </w:p>
    <w:p w14:paraId="5D7D7338" w14:textId="77777777" w:rsidR="00D117D7" w:rsidRPr="003626AC" w:rsidRDefault="00D117D7" w:rsidP="00D117D7">
      <w:pPr>
        <w:jc w:val="both"/>
        <w:rPr>
          <w:rFonts w:eastAsia="Calibri" w:cs="Times New Roman"/>
        </w:rPr>
      </w:pPr>
      <w:r w:rsidRPr="003626AC">
        <w:rPr>
          <w:rFonts w:eastAsia="Calibri" w:cs="Times New Roman"/>
          <w:b/>
          <w:bCs/>
        </w:rPr>
        <w:t>El RDL 177/2020 por su parte</w:t>
      </w:r>
      <w:r w:rsidRPr="003626AC">
        <w:rPr>
          <w:rFonts w:eastAsia="Calibri" w:cs="Times New Roman"/>
        </w:rPr>
        <w:t xml:space="preserve"> refuerza las capacidades del Departamento de Asuntos Económicos y G20 del Gabinete de la Presidencia del Gobierno y crea la unidad específica en dicho departamento, la nueva Unidad de Seguimiento del PRTR.</w:t>
      </w:r>
    </w:p>
    <w:p w14:paraId="30BA25B4" w14:textId="77777777" w:rsidR="00D117D7" w:rsidRPr="003626AC" w:rsidRDefault="00D117D7" w:rsidP="00D117D7">
      <w:pPr>
        <w:jc w:val="both"/>
        <w:rPr>
          <w:rFonts w:eastAsia="Calibri" w:cs="Times New Roman"/>
        </w:rPr>
      </w:pPr>
    </w:p>
    <w:p w14:paraId="7045359E" w14:textId="77777777" w:rsidR="00D117D7" w:rsidRPr="003626AC" w:rsidRDefault="00D117D7" w:rsidP="00D117D7">
      <w:pPr>
        <w:jc w:val="both"/>
        <w:rPr>
          <w:rFonts w:eastAsia="Calibri" w:cs="Times New Roman"/>
        </w:rPr>
      </w:pPr>
      <w:r w:rsidRPr="003626AC">
        <w:rPr>
          <w:rFonts w:eastAsia="Calibri" w:cs="Times New Roman"/>
          <w:b/>
          <w:bCs/>
        </w:rPr>
        <w:t>LEY 3/2020 de acompañamiento de la GV</w:t>
      </w:r>
      <w:r w:rsidRPr="003626AC">
        <w:rPr>
          <w:rFonts w:eastAsia="Calibri" w:cs="Times New Roman"/>
        </w:rPr>
        <w:t>, en su DAd5ª dispone que las actuaciones que se realicen con cargo a los fondos de reconstrucción COVID-19, se considerarán de emergencia a los efectos previstos en el artículo 120 de la LCSP</w:t>
      </w:r>
    </w:p>
    <w:p w14:paraId="2A26D653" w14:textId="77777777" w:rsidR="00741B19" w:rsidRPr="003626AC" w:rsidRDefault="00741B19" w:rsidP="00D117D7">
      <w:pPr>
        <w:spacing w:after="240"/>
        <w:jc w:val="both"/>
        <w:rPr>
          <w:b/>
        </w:rPr>
      </w:pPr>
    </w:p>
    <w:p w14:paraId="2EF90598" w14:textId="77777777" w:rsidR="00741B19" w:rsidRPr="003626AC" w:rsidRDefault="00741B19" w:rsidP="00D117D7">
      <w:pPr>
        <w:spacing w:after="240"/>
        <w:jc w:val="both"/>
        <w:rPr>
          <w:b/>
        </w:rPr>
      </w:pPr>
    </w:p>
    <w:p w14:paraId="22587116" w14:textId="77777777" w:rsidR="00D117D7" w:rsidRPr="003626AC" w:rsidRDefault="00D117D7" w:rsidP="00D117D7">
      <w:pPr>
        <w:spacing w:after="240"/>
        <w:jc w:val="both"/>
        <w:rPr>
          <w:b/>
        </w:rPr>
      </w:pPr>
      <w:r w:rsidRPr="003626AC">
        <w:rPr>
          <w:b/>
        </w:rPr>
        <w:t>REAL DECRETO-LEY 36/2020.</w:t>
      </w:r>
    </w:p>
    <w:p w14:paraId="35F71CCE"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Establece las disposiciones generales precisas para facilitar la programación, presupuestación, gestión y ejecución de las actuaciones con fondos europeos, en especial los provenientes del Instrumento Europeo de Recuperación; asimismo, establece medidas para la implementación del Plan España Puede, que será aprobado por el Consejo de Ministros para su presentación formal ante las instituciones europeas.</w:t>
      </w:r>
    </w:p>
    <w:p w14:paraId="6418CD12" w14:textId="77777777" w:rsidR="00D117D7" w:rsidRPr="003626AC" w:rsidRDefault="00D117D7" w:rsidP="00D117D7">
      <w:pPr>
        <w:pStyle w:val="Prrafodelista"/>
        <w:numPr>
          <w:ilvl w:val="0"/>
          <w:numId w:val="1"/>
        </w:numPr>
        <w:spacing w:after="240"/>
        <w:jc w:val="both"/>
        <w:rPr>
          <w:rFonts w:eastAsia="Times New Roman"/>
        </w:rPr>
      </w:pPr>
      <w:proofErr w:type="gramStart"/>
      <w:r w:rsidRPr="003626AC">
        <w:rPr>
          <w:rFonts w:eastAsia="Times New Roman"/>
        </w:rPr>
        <w:t>Es de aplicación</w:t>
      </w:r>
      <w:proofErr w:type="gramEnd"/>
      <w:r w:rsidRPr="003626AC">
        <w:rPr>
          <w:rFonts w:eastAsia="Times New Roman"/>
        </w:rPr>
        <w:t xml:space="preserve"> a las entidades que integran el sector público, conforme a lo previsto en la Ley de Régimen Jurídico del Sector Público, debiendo tenerse presente en su aplicación aquellos preceptos que son básico de los que no lo son.</w:t>
      </w:r>
    </w:p>
    <w:p w14:paraId="26801B42"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Introduce nuevos principios y directrices a los que se sujetarán las administraciones públicas para la implementación eficaz y la consecución de los objetivos vinculados a los proyectos del Plan; se señalan  principios  y directrices de buena gestión (por ejemplo, la objetividad, planificación, agilidad, innovación, la aplicación de la igualdad, mérito, capacidad y publicidad en las provisiones de personal de duración determinada, etc) y directrices de coordinación entre las unidades administrativas.</w:t>
      </w:r>
    </w:p>
    <w:p w14:paraId="1BA28626"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Regula los “Proyectos Estratégicos para la Recuperación y Transformación Económica” (</w:t>
      </w:r>
      <w:r w:rsidRPr="003626AC">
        <w:rPr>
          <w:rFonts w:eastAsia="Times New Roman"/>
          <w:b/>
          <w:bCs/>
        </w:rPr>
        <w:t>PERTEs</w:t>
      </w:r>
      <w:r w:rsidRPr="003626AC">
        <w:rPr>
          <w:rFonts w:eastAsia="Times New Roman"/>
        </w:rPr>
        <w:t xml:space="preserve">), nueva figura de colaboración público-privada para la ejecución de proyectos. </w:t>
      </w:r>
    </w:p>
    <w:p w14:paraId="45012B1C" w14:textId="77777777" w:rsidR="00D117D7" w:rsidRPr="003626AC" w:rsidRDefault="00D117D7" w:rsidP="00D117D7">
      <w:pPr>
        <w:pStyle w:val="Prrafodelista"/>
        <w:spacing w:after="240"/>
        <w:ind w:left="360"/>
        <w:jc w:val="both"/>
      </w:pPr>
      <w:r w:rsidRPr="003626AC">
        <w:t>Los PERTE se definen como “</w:t>
      </w:r>
      <w:r w:rsidRPr="003626AC">
        <w:rPr>
          <w:i/>
          <w:iCs/>
        </w:rPr>
        <w:t>proyectos de carácter estratégico con gran capacidad de arrastre para el crecimiento económico, el empleo y la competitividad de la economía</w:t>
      </w:r>
      <w:r w:rsidRPr="003626AC">
        <w:t>” (art. 8.1).</w:t>
      </w:r>
    </w:p>
    <w:p w14:paraId="58DF99B4"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La declaración de un proyecto como PERTE se realizará por Acuerdo del Consejo de Ministros, a propuesta del Ministerio competente por razón de la materia (nuevo art. 8.2).</w:t>
      </w:r>
    </w:p>
    <w:p w14:paraId="151861A4" w14:textId="77777777" w:rsidR="00D117D7" w:rsidRPr="003626AC" w:rsidRDefault="00093FFD" w:rsidP="00D117D7">
      <w:pPr>
        <w:pStyle w:val="Prrafodelista"/>
        <w:numPr>
          <w:ilvl w:val="0"/>
          <w:numId w:val="2"/>
        </w:numPr>
        <w:spacing w:after="240"/>
        <w:jc w:val="both"/>
        <w:rPr>
          <w:rFonts w:eastAsia="Times New Roman"/>
        </w:rPr>
      </w:pPr>
      <w:r w:rsidRPr="003626AC">
        <w:rPr>
          <w:rFonts w:eastAsia="Times New Roman"/>
        </w:rPr>
        <w:t xml:space="preserve">La norma </w:t>
      </w:r>
      <w:r w:rsidR="00D117D7" w:rsidRPr="003626AC">
        <w:rPr>
          <w:rFonts w:eastAsia="Times New Roman"/>
        </w:rPr>
        <w:t>incluye una definición de los criterios a valorar para la declaración de un proyecto como PERTE (nuevo art. 8.3) y las normas para la acreditación de las entidades interesadas en los mismos (nuevo artículo 10).  En este sentido, un PERTE deberá reunir los siguientes criterios:</w:t>
      </w:r>
    </w:p>
    <w:p w14:paraId="63667C7C" w14:textId="77777777" w:rsidR="00D117D7" w:rsidRPr="003626AC" w:rsidRDefault="00D117D7" w:rsidP="00D117D7">
      <w:pPr>
        <w:pStyle w:val="Prrafodelista"/>
        <w:numPr>
          <w:ilvl w:val="1"/>
          <w:numId w:val="2"/>
        </w:numPr>
        <w:spacing w:after="240"/>
        <w:ind w:left="993" w:hanging="284"/>
        <w:jc w:val="both"/>
        <w:rPr>
          <w:rFonts w:eastAsia="Times New Roman"/>
        </w:rPr>
      </w:pPr>
      <w:r w:rsidRPr="003626AC">
        <w:rPr>
          <w:rFonts w:eastAsia="Times New Roman"/>
        </w:rPr>
        <w:lastRenderedPageBreak/>
        <w:t>Represente una importante contribución al crecimiento económico, al empleo, a la competitividad que, a su vez, permita remediar importantes deficiencias del mercado o sistemáticas, así como retos sociales.</w:t>
      </w:r>
    </w:p>
    <w:p w14:paraId="6DC28BD1" w14:textId="77777777" w:rsidR="00D117D7" w:rsidRPr="003626AC" w:rsidRDefault="00D117D7" w:rsidP="00D117D7">
      <w:pPr>
        <w:pStyle w:val="Prrafodelista"/>
        <w:numPr>
          <w:ilvl w:val="1"/>
          <w:numId w:val="2"/>
        </w:numPr>
        <w:spacing w:after="240"/>
        <w:ind w:left="993" w:hanging="284"/>
        <w:jc w:val="both"/>
        <w:rPr>
          <w:rFonts w:eastAsia="Times New Roman"/>
        </w:rPr>
      </w:pPr>
      <w:r w:rsidRPr="003626AC">
        <w:rPr>
          <w:rFonts w:eastAsia="Times New Roman"/>
        </w:rPr>
        <w:t>Tenga carácter innovador o valor añadido en términos de I+D+i e importancia cuantitativa o cualitativa, con un alcance particularmente grande o con un nivel de riesgo tecnológico o financiero elevado.</w:t>
      </w:r>
    </w:p>
    <w:p w14:paraId="5B7ACAE8" w14:textId="77777777" w:rsidR="00D117D7" w:rsidRPr="003626AC" w:rsidRDefault="00D117D7" w:rsidP="00D117D7">
      <w:pPr>
        <w:pStyle w:val="Prrafodelista"/>
        <w:numPr>
          <w:ilvl w:val="1"/>
          <w:numId w:val="2"/>
        </w:numPr>
        <w:spacing w:after="240"/>
        <w:ind w:left="993" w:hanging="284"/>
        <w:jc w:val="both"/>
        <w:rPr>
          <w:rFonts w:eastAsia="Times New Roman"/>
        </w:rPr>
      </w:pPr>
      <w:r w:rsidRPr="003626AC">
        <w:rPr>
          <w:rFonts w:eastAsia="Times New Roman"/>
        </w:rPr>
        <w:t>Favorezca la integración y crecimiento de pymes, y el impulso de colaboraciones.</w:t>
      </w:r>
    </w:p>
    <w:p w14:paraId="10C71B66" w14:textId="77777777" w:rsidR="00D117D7" w:rsidRPr="003626AC" w:rsidRDefault="00D117D7" w:rsidP="00D117D7">
      <w:pPr>
        <w:pStyle w:val="Prrafodelista"/>
        <w:numPr>
          <w:ilvl w:val="1"/>
          <w:numId w:val="2"/>
        </w:numPr>
        <w:spacing w:after="240"/>
        <w:ind w:left="993" w:hanging="284"/>
        <w:jc w:val="both"/>
        <w:rPr>
          <w:rFonts w:eastAsia="Times New Roman"/>
        </w:rPr>
      </w:pPr>
      <w:r w:rsidRPr="003626AC">
        <w:rPr>
          <w:rFonts w:eastAsia="Times New Roman"/>
        </w:rPr>
        <w:t>Que contribuya de forma concreta, clara e identificable a uno o más objetivos del Plan, particularmente a los objetivos marcados a nivel europeo con el Instrumento Europeo de Recuperación.</w:t>
      </w:r>
    </w:p>
    <w:p w14:paraId="4172C7DC" w14:textId="77777777" w:rsidR="00D117D7" w:rsidRPr="003626AC" w:rsidRDefault="00D117D7" w:rsidP="00D117D7">
      <w:pPr>
        <w:pStyle w:val="Prrafodelista"/>
        <w:spacing w:after="240"/>
        <w:jc w:val="both"/>
        <w:rPr>
          <w:rFonts w:eastAsia="Times New Roman"/>
        </w:rPr>
      </w:pPr>
      <w:r w:rsidRPr="003626AC">
        <w:rPr>
          <w:rFonts w:eastAsia="Times New Roman"/>
        </w:rPr>
        <w:t>Los PERTE podrán consistir en (i) un proyecto único claramente definido en cuanto a sus objetivos y modalidad de ejecución, o (ii) proyecto integrado, compuesto por un grupo de proyectos insertados en una estructura, plan de trabajo o programa comunes que compartan objetivo y se basen en un enfoque sistémico coherente (nuevo art. 8.4)</w:t>
      </w:r>
    </w:p>
    <w:p w14:paraId="6B6A186A" w14:textId="77777777" w:rsidR="00D117D7" w:rsidRPr="003626AC" w:rsidRDefault="00D117D7" w:rsidP="00D117D7">
      <w:pPr>
        <w:pStyle w:val="Prrafodelista"/>
        <w:numPr>
          <w:ilvl w:val="0"/>
          <w:numId w:val="2"/>
        </w:numPr>
        <w:spacing w:after="240"/>
        <w:jc w:val="both"/>
        <w:rPr>
          <w:rFonts w:eastAsia="Times New Roman"/>
          <w:color w:val="FF0000"/>
        </w:rPr>
      </w:pPr>
      <w:r w:rsidRPr="003626AC">
        <w:rPr>
          <w:rFonts w:eastAsia="Times New Roman"/>
        </w:rPr>
        <w:t>Se crea un registro público en el Ministerio de Hacienda (el borrador anterior lo vinculaba al Ministerio de Industria) en el que se inscribirán todas las entidades, públicas o privadas vinculadas al desarrollo de un PERTE (art. 9). El Registro tendrá una sección diferenciada para cada uno de los PERTE. La inclusión de una entidad en una sección acreditará que realiza actividades vinculadas al interés público que encarna ese PERTE.</w:t>
      </w:r>
      <w:r w:rsidRPr="003626AC">
        <w:rPr>
          <w:rFonts w:eastAsia="Times New Roman"/>
          <w:color w:val="FF0000"/>
        </w:rPr>
        <w:t xml:space="preserve"> </w:t>
      </w:r>
    </w:p>
    <w:p w14:paraId="60377E03" w14:textId="77777777" w:rsidR="00D117D7" w:rsidRPr="003626AC" w:rsidRDefault="00D117D7" w:rsidP="00D117D7">
      <w:pPr>
        <w:pStyle w:val="Prrafodelista"/>
        <w:spacing w:after="240"/>
        <w:jc w:val="both"/>
      </w:pPr>
      <w:r w:rsidRPr="003626AC">
        <w:t>El funcionamiento y estructura del Registro queda pendiente de desarrollo reglamentario, que debe producirse dentro de los 3 meses siguientes a la entrada en vigor del RDL.</w:t>
      </w:r>
    </w:p>
    <w:p w14:paraId="4BEA1B52" w14:textId="77777777" w:rsidR="00D117D7" w:rsidRPr="003626AC" w:rsidRDefault="00D117D7" w:rsidP="00D117D7">
      <w:pPr>
        <w:pStyle w:val="Prrafodelista"/>
        <w:numPr>
          <w:ilvl w:val="0"/>
          <w:numId w:val="2"/>
        </w:numPr>
        <w:spacing w:after="240"/>
        <w:jc w:val="both"/>
      </w:pPr>
      <w:r w:rsidRPr="003626AC">
        <w:rPr>
          <w:rFonts w:eastAsia="Times New Roman"/>
        </w:rPr>
        <w:t>Artículo</w:t>
      </w:r>
      <w:r w:rsidRPr="003626AC">
        <w:t xml:space="preserve"> 10. Normas comunes del proceso para la acreditación como entidad interesada en un PERTE.: </w:t>
      </w:r>
    </w:p>
    <w:p w14:paraId="6F26F7A5" w14:textId="77777777" w:rsidR="00D117D7" w:rsidRPr="003626AC" w:rsidRDefault="00D117D7" w:rsidP="00D117D7">
      <w:pPr>
        <w:pStyle w:val="Prrafodelista"/>
        <w:spacing w:after="240"/>
        <w:jc w:val="both"/>
      </w:pPr>
      <w:r w:rsidRPr="003626AC">
        <w:t>En art. 10.1, antes se hablaba de la “La disposición reglamentaria en la que se regule cada PERTE”, en la versión publicada se alude sencillamente a “la regulación de cada PERTE”</w:t>
      </w:r>
    </w:p>
    <w:p w14:paraId="44F7737F" w14:textId="77777777" w:rsidR="00D117D7" w:rsidRPr="003626AC" w:rsidRDefault="00D117D7" w:rsidP="00D117D7">
      <w:pPr>
        <w:pStyle w:val="Prrafodelista"/>
        <w:spacing w:after="240"/>
        <w:jc w:val="both"/>
      </w:pPr>
      <w:r w:rsidRPr="003626AC">
        <w:t xml:space="preserve">En art. 10.1.d) se aclara </w:t>
      </w:r>
      <w:proofErr w:type="gramStart"/>
      <w:r w:rsidRPr="003626AC">
        <w:t>que</w:t>
      </w:r>
      <w:proofErr w:type="gramEnd"/>
      <w:r w:rsidRPr="003626AC">
        <w:t xml:space="preserve"> si transcurre el plazo de tres meses para acreditar la concesión de acreditación como entidad interesada, se entenderá denegada.</w:t>
      </w:r>
    </w:p>
    <w:p w14:paraId="6416A108" w14:textId="77777777" w:rsidR="00D117D7" w:rsidRPr="003626AC" w:rsidRDefault="00D117D7" w:rsidP="00D117D7">
      <w:pPr>
        <w:pStyle w:val="Prrafodelista"/>
        <w:numPr>
          <w:ilvl w:val="0"/>
          <w:numId w:val="2"/>
        </w:numPr>
        <w:spacing w:after="240"/>
        <w:jc w:val="both"/>
        <w:rPr>
          <w:rFonts w:eastAsia="Times New Roman"/>
          <w:strike/>
          <w:color w:val="FF0000"/>
        </w:rPr>
      </w:pPr>
      <w:r w:rsidRPr="003626AC">
        <w:rPr>
          <w:rFonts w:eastAsia="Times New Roman"/>
        </w:rPr>
        <w:t xml:space="preserve">La inscripción en el Registro </w:t>
      </w:r>
      <w:r w:rsidRPr="003626AC">
        <w:rPr>
          <w:rFonts w:eastAsia="Times New Roman"/>
          <w:u w:val="single"/>
        </w:rPr>
        <w:t>podrá ser considerada como requisito</w:t>
      </w:r>
      <w:r w:rsidRPr="003626AC">
        <w:rPr>
          <w:rFonts w:eastAsia="Times New Roman"/>
        </w:rPr>
        <w:t xml:space="preserve"> necesario para ser beneficiario de subvenciones (art. 11), en el caso de que se prevea así en sus bases reguladoras o convocatoria y siempre que resulte necesaria “</w:t>
      </w:r>
      <w:r w:rsidRPr="003626AC">
        <w:rPr>
          <w:rFonts w:eastAsia="Times New Roman"/>
          <w:i/>
          <w:iCs/>
        </w:rPr>
        <w:t>para</w:t>
      </w:r>
      <w:r w:rsidRPr="003626AC">
        <w:rPr>
          <w:rFonts w:eastAsia="Times New Roman"/>
          <w:i/>
          <w:iCs/>
          <w:spacing w:val="46"/>
        </w:rPr>
        <w:t xml:space="preserve"> </w:t>
      </w:r>
      <w:r w:rsidRPr="003626AC">
        <w:rPr>
          <w:rFonts w:eastAsia="Times New Roman"/>
          <w:i/>
          <w:iCs/>
        </w:rPr>
        <w:t>la</w:t>
      </w:r>
      <w:r w:rsidRPr="003626AC">
        <w:rPr>
          <w:rFonts w:eastAsia="Times New Roman"/>
          <w:i/>
          <w:iCs/>
          <w:spacing w:val="46"/>
        </w:rPr>
        <w:t xml:space="preserve"> </w:t>
      </w:r>
      <w:r w:rsidRPr="003626AC">
        <w:rPr>
          <w:rFonts w:eastAsia="Times New Roman"/>
          <w:i/>
          <w:iCs/>
          <w:spacing w:val="-1"/>
        </w:rPr>
        <w:t>sa</w:t>
      </w:r>
      <w:r w:rsidRPr="003626AC">
        <w:rPr>
          <w:rFonts w:eastAsia="Times New Roman"/>
          <w:i/>
          <w:iCs/>
          <w:spacing w:val="-2"/>
        </w:rPr>
        <w:t>lv</w:t>
      </w:r>
      <w:r w:rsidRPr="003626AC">
        <w:rPr>
          <w:rFonts w:eastAsia="Times New Roman"/>
          <w:i/>
          <w:iCs/>
          <w:spacing w:val="-1"/>
        </w:rPr>
        <w:t>agua</w:t>
      </w:r>
      <w:r w:rsidRPr="003626AC">
        <w:rPr>
          <w:rFonts w:eastAsia="Times New Roman"/>
          <w:i/>
          <w:iCs/>
          <w:spacing w:val="-2"/>
        </w:rPr>
        <w:t>r</w:t>
      </w:r>
      <w:r w:rsidRPr="003626AC">
        <w:rPr>
          <w:rFonts w:eastAsia="Times New Roman"/>
          <w:i/>
          <w:iCs/>
          <w:spacing w:val="-1"/>
        </w:rPr>
        <w:t>da</w:t>
      </w:r>
      <w:r w:rsidRPr="003626AC">
        <w:rPr>
          <w:rFonts w:eastAsia="Times New Roman"/>
          <w:i/>
          <w:iCs/>
          <w:spacing w:val="50"/>
        </w:rPr>
        <w:t xml:space="preserve"> </w:t>
      </w:r>
      <w:r w:rsidRPr="003626AC">
        <w:rPr>
          <w:rFonts w:eastAsia="Times New Roman"/>
          <w:i/>
          <w:iCs/>
        </w:rPr>
        <w:t>de</w:t>
      </w:r>
      <w:r w:rsidRPr="003626AC">
        <w:rPr>
          <w:rFonts w:eastAsia="Times New Roman"/>
          <w:i/>
          <w:iCs/>
          <w:spacing w:val="47"/>
        </w:rPr>
        <w:t xml:space="preserve"> </w:t>
      </w:r>
      <w:r w:rsidRPr="003626AC">
        <w:rPr>
          <w:rFonts w:eastAsia="Times New Roman"/>
          <w:i/>
          <w:iCs/>
          <w:spacing w:val="-1"/>
        </w:rPr>
        <w:t>a</w:t>
      </w:r>
      <w:r w:rsidRPr="003626AC">
        <w:rPr>
          <w:rFonts w:eastAsia="Times New Roman"/>
          <w:i/>
          <w:iCs/>
          <w:spacing w:val="-2"/>
        </w:rPr>
        <w:t>l</w:t>
      </w:r>
      <w:r w:rsidRPr="003626AC">
        <w:rPr>
          <w:rFonts w:eastAsia="Times New Roman"/>
          <w:i/>
          <w:iCs/>
          <w:spacing w:val="-1"/>
        </w:rPr>
        <w:t>guna</w:t>
      </w:r>
      <w:r w:rsidRPr="003626AC">
        <w:rPr>
          <w:rFonts w:eastAsia="Times New Roman"/>
          <w:i/>
          <w:iCs/>
          <w:spacing w:val="50"/>
        </w:rPr>
        <w:t xml:space="preserve"> </w:t>
      </w:r>
      <w:r w:rsidRPr="003626AC">
        <w:rPr>
          <w:rFonts w:eastAsia="Times New Roman"/>
          <w:i/>
          <w:iCs/>
          <w:spacing w:val="-2"/>
        </w:rPr>
        <w:t>r</w:t>
      </w:r>
      <w:r w:rsidRPr="003626AC">
        <w:rPr>
          <w:rFonts w:eastAsia="Times New Roman"/>
          <w:i/>
          <w:iCs/>
          <w:spacing w:val="-1"/>
        </w:rPr>
        <w:t>azón</w:t>
      </w:r>
      <w:r w:rsidRPr="003626AC">
        <w:rPr>
          <w:rFonts w:eastAsia="Times New Roman"/>
          <w:i/>
          <w:iCs/>
          <w:spacing w:val="50"/>
        </w:rPr>
        <w:t xml:space="preserve"> </w:t>
      </w:r>
      <w:r w:rsidRPr="003626AC">
        <w:rPr>
          <w:rFonts w:eastAsia="Times New Roman"/>
          <w:i/>
          <w:iCs/>
        </w:rPr>
        <w:t>imperiosa</w:t>
      </w:r>
      <w:r w:rsidRPr="003626AC">
        <w:rPr>
          <w:rFonts w:eastAsia="Times New Roman"/>
          <w:i/>
          <w:iCs/>
          <w:spacing w:val="47"/>
        </w:rPr>
        <w:t xml:space="preserve"> </w:t>
      </w:r>
      <w:r w:rsidRPr="003626AC">
        <w:rPr>
          <w:rFonts w:eastAsia="Times New Roman"/>
          <w:i/>
          <w:iCs/>
        </w:rPr>
        <w:t>de</w:t>
      </w:r>
      <w:r w:rsidRPr="003626AC">
        <w:rPr>
          <w:rFonts w:eastAsia="Times New Roman"/>
          <w:i/>
          <w:iCs/>
          <w:spacing w:val="50"/>
        </w:rPr>
        <w:t xml:space="preserve"> </w:t>
      </w:r>
      <w:r w:rsidRPr="003626AC">
        <w:rPr>
          <w:rFonts w:eastAsia="Times New Roman"/>
          <w:i/>
          <w:iCs/>
        </w:rPr>
        <w:t>interés</w:t>
      </w:r>
      <w:r w:rsidRPr="003626AC">
        <w:rPr>
          <w:rFonts w:eastAsia="Times New Roman"/>
          <w:i/>
          <w:iCs/>
          <w:spacing w:val="42"/>
        </w:rPr>
        <w:t xml:space="preserve"> </w:t>
      </w:r>
      <w:r w:rsidRPr="003626AC">
        <w:rPr>
          <w:rFonts w:eastAsia="Times New Roman"/>
          <w:i/>
          <w:iCs/>
          <w:spacing w:val="-1"/>
        </w:rPr>
        <w:t>gene</w:t>
      </w:r>
      <w:r w:rsidRPr="003626AC">
        <w:rPr>
          <w:rFonts w:eastAsia="Times New Roman"/>
          <w:i/>
          <w:iCs/>
          <w:spacing w:val="-2"/>
        </w:rPr>
        <w:t>r</w:t>
      </w:r>
      <w:r w:rsidRPr="003626AC">
        <w:rPr>
          <w:rFonts w:eastAsia="Times New Roman"/>
          <w:i/>
          <w:iCs/>
          <w:spacing w:val="-1"/>
        </w:rPr>
        <w:t>a</w:t>
      </w:r>
      <w:r w:rsidRPr="003626AC">
        <w:rPr>
          <w:rFonts w:eastAsia="Times New Roman"/>
          <w:i/>
          <w:iCs/>
          <w:spacing w:val="-2"/>
        </w:rPr>
        <w:t>l</w:t>
      </w:r>
      <w:r w:rsidRPr="003626AC">
        <w:rPr>
          <w:rFonts w:eastAsia="Times New Roman"/>
          <w:i/>
          <w:iCs/>
          <w:spacing w:val="45"/>
        </w:rPr>
        <w:t xml:space="preserve"> </w:t>
      </w:r>
      <w:r w:rsidRPr="003626AC">
        <w:rPr>
          <w:rFonts w:eastAsia="Times New Roman"/>
          <w:i/>
          <w:iCs/>
        </w:rPr>
        <w:t>y</w:t>
      </w:r>
      <w:r w:rsidRPr="003626AC">
        <w:rPr>
          <w:rFonts w:eastAsia="Times New Roman"/>
          <w:i/>
          <w:iCs/>
          <w:spacing w:val="42"/>
        </w:rPr>
        <w:t xml:space="preserve"> </w:t>
      </w:r>
      <w:r w:rsidRPr="003626AC">
        <w:rPr>
          <w:rFonts w:eastAsia="Times New Roman"/>
          <w:i/>
          <w:iCs/>
        </w:rPr>
        <w:t>no</w:t>
      </w:r>
      <w:r w:rsidRPr="003626AC">
        <w:rPr>
          <w:rFonts w:eastAsia="Times New Roman"/>
          <w:i/>
          <w:iCs/>
          <w:spacing w:val="50"/>
        </w:rPr>
        <w:t xml:space="preserve"> </w:t>
      </w:r>
      <w:r w:rsidRPr="003626AC">
        <w:rPr>
          <w:rFonts w:eastAsia="Times New Roman"/>
          <w:i/>
          <w:iCs/>
          <w:spacing w:val="-1"/>
        </w:rPr>
        <w:t>e</w:t>
      </w:r>
      <w:r w:rsidRPr="003626AC">
        <w:rPr>
          <w:rFonts w:eastAsia="Times New Roman"/>
          <w:i/>
          <w:iCs/>
          <w:spacing w:val="-2"/>
        </w:rPr>
        <w:t>xi</w:t>
      </w:r>
      <w:r w:rsidRPr="003626AC">
        <w:rPr>
          <w:rFonts w:eastAsia="Times New Roman"/>
          <w:i/>
          <w:iCs/>
          <w:spacing w:val="-1"/>
        </w:rPr>
        <w:t>s</w:t>
      </w:r>
      <w:r w:rsidRPr="003626AC">
        <w:rPr>
          <w:rFonts w:eastAsia="Times New Roman"/>
          <w:i/>
          <w:iCs/>
          <w:spacing w:val="-2"/>
        </w:rPr>
        <w:t>t</w:t>
      </w:r>
      <w:r w:rsidRPr="003626AC">
        <w:rPr>
          <w:rFonts w:eastAsia="Times New Roman"/>
          <w:i/>
          <w:iCs/>
          <w:spacing w:val="-1"/>
        </w:rPr>
        <w:t>an</w:t>
      </w:r>
      <w:r w:rsidRPr="003626AC">
        <w:rPr>
          <w:rFonts w:eastAsia="Times New Roman"/>
          <w:i/>
          <w:iCs/>
          <w:spacing w:val="48"/>
        </w:rPr>
        <w:t xml:space="preserve"> </w:t>
      </w:r>
      <w:r w:rsidRPr="003626AC">
        <w:rPr>
          <w:rFonts w:eastAsia="Times New Roman"/>
          <w:i/>
          <w:iCs/>
        </w:rPr>
        <w:t>medidas</w:t>
      </w:r>
      <w:r w:rsidRPr="003626AC">
        <w:rPr>
          <w:rFonts w:eastAsia="Times New Roman"/>
          <w:i/>
          <w:iCs/>
          <w:spacing w:val="45"/>
        </w:rPr>
        <w:t xml:space="preserve"> </w:t>
      </w:r>
      <w:r w:rsidRPr="003626AC">
        <w:rPr>
          <w:rFonts w:eastAsia="Times New Roman"/>
          <w:i/>
          <w:iCs/>
        </w:rPr>
        <w:t>menos</w:t>
      </w:r>
      <w:r w:rsidRPr="003626AC">
        <w:rPr>
          <w:rFonts w:eastAsia="Times New Roman"/>
          <w:i/>
          <w:iCs/>
          <w:spacing w:val="45"/>
        </w:rPr>
        <w:t xml:space="preserve"> </w:t>
      </w:r>
      <w:r w:rsidRPr="003626AC">
        <w:rPr>
          <w:rFonts w:eastAsia="Times New Roman"/>
          <w:i/>
          <w:iCs/>
          <w:spacing w:val="-2"/>
        </w:rPr>
        <w:t>r</w:t>
      </w:r>
      <w:r w:rsidRPr="003626AC">
        <w:rPr>
          <w:rFonts w:eastAsia="Times New Roman"/>
          <w:i/>
          <w:iCs/>
          <w:spacing w:val="-1"/>
        </w:rPr>
        <w:t>es</w:t>
      </w:r>
      <w:r w:rsidRPr="003626AC">
        <w:rPr>
          <w:rFonts w:eastAsia="Times New Roman"/>
          <w:i/>
          <w:iCs/>
          <w:spacing w:val="-2"/>
        </w:rPr>
        <w:t>tri</w:t>
      </w:r>
      <w:r w:rsidRPr="003626AC">
        <w:rPr>
          <w:rFonts w:eastAsia="Times New Roman"/>
          <w:i/>
          <w:iCs/>
          <w:spacing w:val="-1"/>
        </w:rPr>
        <w:t>c</w:t>
      </w:r>
      <w:r w:rsidRPr="003626AC">
        <w:rPr>
          <w:rFonts w:eastAsia="Times New Roman"/>
          <w:i/>
          <w:iCs/>
          <w:spacing w:val="-2"/>
        </w:rPr>
        <w:t>tiv</w:t>
      </w:r>
      <w:r w:rsidRPr="003626AC">
        <w:rPr>
          <w:rFonts w:eastAsia="Times New Roman"/>
          <w:i/>
          <w:iCs/>
          <w:spacing w:val="-1"/>
        </w:rPr>
        <w:t>as</w:t>
      </w:r>
      <w:r w:rsidRPr="003626AC">
        <w:rPr>
          <w:rFonts w:eastAsia="Times New Roman"/>
          <w:i/>
          <w:iCs/>
          <w:spacing w:val="46"/>
        </w:rPr>
        <w:t xml:space="preserve"> </w:t>
      </w:r>
      <w:r w:rsidRPr="003626AC">
        <w:rPr>
          <w:rFonts w:eastAsia="Times New Roman"/>
          <w:i/>
          <w:iCs/>
        </w:rPr>
        <w:t>o</w:t>
      </w:r>
      <w:r w:rsidRPr="003626AC">
        <w:rPr>
          <w:rFonts w:eastAsia="Times New Roman"/>
          <w:i/>
          <w:iCs/>
          <w:spacing w:val="48"/>
        </w:rPr>
        <w:t xml:space="preserve"> </w:t>
      </w:r>
      <w:r w:rsidRPr="003626AC">
        <w:rPr>
          <w:rFonts w:eastAsia="Times New Roman"/>
          <w:i/>
          <w:iCs/>
        </w:rPr>
        <w:t>distorsionadoras</w:t>
      </w:r>
      <w:r w:rsidRPr="003626AC">
        <w:rPr>
          <w:rFonts w:eastAsia="Times New Roman"/>
          <w:i/>
          <w:iCs/>
          <w:spacing w:val="45"/>
        </w:rPr>
        <w:t xml:space="preserve"> </w:t>
      </w:r>
      <w:r w:rsidRPr="003626AC">
        <w:rPr>
          <w:rFonts w:eastAsia="Times New Roman"/>
          <w:i/>
          <w:iCs/>
        </w:rPr>
        <w:t>para</w:t>
      </w:r>
      <w:r w:rsidRPr="003626AC">
        <w:rPr>
          <w:rFonts w:eastAsia="Times New Roman"/>
          <w:i/>
          <w:iCs/>
          <w:spacing w:val="43"/>
        </w:rPr>
        <w:t xml:space="preserve"> </w:t>
      </w:r>
      <w:r w:rsidRPr="003626AC">
        <w:rPr>
          <w:rFonts w:eastAsia="Times New Roman"/>
          <w:i/>
          <w:iCs/>
        </w:rPr>
        <w:t>la</w:t>
      </w:r>
      <w:r w:rsidRPr="003626AC">
        <w:rPr>
          <w:rFonts w:eastAsia="Times New Roman"/>
          <w:i/>
          <w:iCs/>
          <w:spacing w:val="62"/>
        </w:rPr>
        <w:t xml:space="preserve"> </w:t>
      </w:r>
      <w:r w:rsidRPr="003626AC">
        <w:rPr>
          <w:rFonts w:eastAsia="Times New Roman"/>
          <w:i/>
          <w:iCs/>
          <w:spacing w:val="-1"/>
        </w:rPr>
        <w:t>ac</w:t>
      </w:r>
      <w:r w:rsidRPr="003626AC">
        <w:rPr>
          <w:rFonts w:eastAsia="Times New Roman"/>
          <w:i/>
          <w:iCs/>
          <w:spacing w:val="-2"/>
        </w:rPr>
        <w:t>tivi</w:t>
      </w:r>
      <w:r w:rsidRPr="003626AC">
        <w:rPr>
          <w:rFonts w:eastAsia="Times New Roman"/>
          <w:i/>
          <w:iCs/>
          <w:spacing w:val="-1"/>
        </w:rPr>
        <w:t>dad</w:t>
      </w:r>
      <w:r w:rsidRPr="003626AC">
        <w:rPr>
          <w:rFonts w:eastAsia="Times New Roman"/>
          <w:i/>
          <w:iCs/>
          <w:spacing w:val="6"/>
        </w:rPr>
        <w:t xml:space="preserve"> </w:t>
      </w:r>
      <w:r w:rsidRPr="003626AC">
        <w:rPr>
          <w:rFonts w:eastAsia="Times New Roman"/>
          <w:i/>
          <w:iCs/>
        </w:rPr>
        <w:t>económica</w:t>
      </w:r>
      <w:r w:rsidRPr="003626AC">
        <w:rPr>
          <w:rFonts w:eastAsia="Times New Roman"/>
          <w:i/>
          <w:iCs/>
          <w:spacing w:val="4"/>
        </w:rPr>
        <w:t xml:space="preserve"> </w:t>
      </w:r>
      <w:r w:rsidRPr="003626AC">
        <w:rPr>
          <w:rFonts w:eastAsia="Times New Roman"/>
          <w:i/>
          <w:iCs/>
        </w:rPr>
        <w:t>para</w:t>
      </w:r>
      <w:r w:rsidRPr="003626AC">
        <w:rPr>
          <w:rFonts w:eastAsia="Times New Roman"/>
          <w:i/>
          <w:iCs/>
          <w:spacing w:val="3"/>
        </w:rPr>
        <w:t xml:space="preserve"> </w:t>
      </w:r>
      <w:r w:rsidRPr="003626AC">
        <w:rPr>
          <w:rFonts w:eastAsia="Times New Roman"/>
          <w:i/>
          <w:iCs/>
          <w:spacing w:val="-1"/>
        </w:rPr>
        <w:t>a</w:t>
      </w:r>
      <w:r w:rsidRPr="003626AC">
        <w:rPr>
          <w:rFonts w:eastAsia="Times New Roman"/>
          <w:i/>
          <w:iCs/>
          <w:spacing w:val="-2"/>
        </w:rPr>
        <w:t>l</w:t>
      </w:r>
      <w:r w:rsidRPr="003626AC">
        <w:rPr>
          <w:rFonts w:eastAsia="Times New Roman"/>
          <w:i/>
          <w:iCs/>
          <w:spacing w:val="-1"/>
        </w:rPr>
        <w:t>canza</w:t>
      </w:r>
      <w:r w:rsidRPr="003626AC">
        <w:rPr>
          <w:rFonts w:eastAsia="Times New Roman"/>
          <w:i/>
          <w:iCs/>
          <w:spacing w:val="-2"/>
        </w:rPr>
        <w:t>r</w:t>
      </w:r>
      <w:r w:rsidRPr="003626AC">
        <w:rPr>
          <w:rFonts w:eastAsia="Times New Roman"/>
          <w:i/>
          <w:iCs/>
          <w:spacing w:val="5"/>
        </w:rPr>
        <w:t xml:space="preserve"> </w:t>
      </w:r>
      <w:r w:rsidRPr="003626AC">
        <w:rPr>
          <w:rFonts w:eastAsia="Times New Roman"/>
          <w:i/>
          <w:iCs/>
        </w:rPr>
        <w:t>los</w:t>
      </w:r>
      <w:r w:rsidRPr="003626AC">
        <w:rPr>
          <w:rFonts w:eastAsia="Times New Roman"/>
          <w:i/>
          <w:iCs/>
          <w:spacing w:val="4"/>
        </w:rPr>
        <w:t xml:space="preserve"> </w:t>
      </w:r>
      <w:r w:rsidRPr="003626AC">
        <w:rPr>
          <w:rFonts w:eastAsia="Times New Roman"/>
          <w:i/>
          <w:iCs/>
        </w:rPr>
        <w:t>mismos</w:t>
      </w:r>
      <w:r w:rsidRPr="003626AC">
        <w:rPr>
          <w:rFonts w:eastAsia="Times New Roman"/>
          <w:i/>
          <w:iCs/>
          <w:spacing w:val="3"/>
        </w:rPr>
        <w:t xml:space="preserve"> </w:t>
      </w:r>
      <w:r w:rsidRPr="003626AC">
        <w:rPr>
          <w:rFonts w:eastAsia="Times New Roman"/>
          <w:i/>
          <w:iCs/>
        </w:rPr>
        <w:t>objetivos</w:t>
      </w:r>
      <w:r w:rsidRPr="003626AC">
        <w:rPr>
          <w:rFonts w:eastAsia="Times New Roman"/>
        </w:rPr>
        <w:t xml:space="preserve">”. </w:t>
      </w:r>
    </w:p>
    <w:p w14:paraId="532C9E33" w14:textId="77777777" w:rsidR="00D117D7" w:rsidRPr="003626AC" w:rsidRDefault="00D117D7" w:rsidP="00D117D7">
      <w:pPr>
        <w:pStyle w:val="Prrafodelista"/>
        <w:spacing w:after="240"/>
        <w:jc w:val="both"/>
        <w:rPr>
          <w:rFonts w:eastAsia="Times New Roman"/>
        </w:rPr>
      </w:pPr>
      <w:r w:rsidRPr="003626AC">
        <w:rPr>
          <w:rFonts w:eastAsia="Times New Roman"/>
        </w:rPr>
        <w:t xml:space="preserve">En todo caso, se identificarán los requisitos cuantitativos y cualitativos exigidos para la inscripción en el PERTE y se permite que, alternativamente a la inscripción, pueda acreditarse el cumplimiento de tales requisitos por </w:t>
      </w:r>
      <w:proofErr w:type="gramStart"/>
      <w:r w:rsidRPr="003626AC">
        <w:rPr>
          <w:rFonts w:eastAsia="Times New Roman"/>
        </w:rPr>
        <w:t>la empresas</w:t>
      </w:r>
      <w:proofErr w:type="gramEnd"/>
      <w:r w:rsidRPr="003626AC">
        <w:rPr>
          <w:rFonts w:eastAsia="Times New Roman"/>
        </w:rPr>
        <w:t xml:space="preserve"> solitante ante el órgano que concede la subvención.</w:t>
      </w:r>
    </w:p>
    <w:p w14:paraId="71BDF2C0" w14:textId="77777777" w:rsidR="00D117D7" w:rsidRPr="003626AC" w:rsidRDefault="00093FFD" w:rsidP="00D117D7">
      <w:pPr>
        <w:pStyle w:val="Prrafodelista"/>
        <w:numPr>
          <w:ilvl w:val="0"/>
          <w:numId w:val="1"/>
        </w:numPr>
        <w:spacing w:after="240"/>
        <w:ind w:left="357" w:hanging="357"/>
        <w:jc w:val="both"/>
        <w:rPr>
          <w:rFonts w:eastAsia="Times New Roman"/>
        </w:rPr>
      </w:pPr>
      <w:r w:rsidRPr="003626AC">
        <w:rPr>
          <w:rFonts w:eastAsia="Times New Roman"/>
        </w:rPr>
        <w:t xml:space="preserve">Los </w:t>
      </w:r>
      <w:r w:rsidR="00D117D7" w:rsidRPr="003626AC">
        <w:rPr>
          <w:rFonts w:eastAsia="Times New Roman"/>
        </w:rPr>
        <w:t>arts. 12 y 13</w:t>
      </w:r>
      <w:r w:rsidRPr="003626AC">
        <w:rPr>
          <w:rFonts w:eastAsia="Times New Roman"/>
        </w:rPr>
        <w:t xml:space="preserve"> definen</w:t>
      </w:r>
      <w:r w:rsidR="00D117D7" w:rsidRPr="003626AC">
        <w:rPr>
          <w:rFonts w:eastAsia="Times New Roman"/>
        </w:rPr>
        <w:t xml:space="preserve"> el Plan de Recuperación, Transformación y Resiliencia, y su procedimiento de elaboración y aprobación por el Consejo de Ministros, a propuesta del Ministerio de Asuntos Económicos y Transformación Digital.</w:t>
      </w:r>
    </w:p>
    <w:p w14:paraId="1F16A2FE" w14:textId="77777777" w:rsidR="00741B19" w:rsidRPr="003626AC" w:rsidRDefault="00741B19" w:rsidP="00741B19">
      <w:pPr>
        <w:pStyle w:val="Prrafodelista"/>
        <w:spacing w:after="240"/>
        <w:ind w:left="357"/>
        <w:jc w:val="both"/>
        <w:rPr>
          <w:rFonts w:eastAsia="Times New Roman"/>
        </w:rPr>
      </w:pPr>
    </w:p>
    <w:p w14:paraId="4277ABD6" w14:textId="77777777" w:rsidR="00D117D7" w:rsidRPr="003626AC" w:rsidRDefault="00093FFD" w:rsidP="00D117D7">
      <w:pPr>
        <w:pStyle w:val="Prrafodelista"/>
        <w:numPr>
          <w:ilvl w:val="0"/>
          <w:numId w:val="1"/>
        </w:numPr>
        <w:spacing w:after="240"/>
        <w:ind w:left="357" w:hanging="357"/>
        <w:jc w:val="both"/>
        <w:rPr>
          <w:rFonts w:eastAsia="Times New Roman"/>
        </w:rPr>
      </w:pPr>
      <w:r w:rsidRPr="003626AC">
        <w:rPr>
          <w:rFonts w:eastAsia="Times New Roman"/>
        </w:rPr>
        <w:t xml:space="preserve">Se crean </w:t>
      </w:r>
      <w:r w:rsidR="00D117D7" w:rsidRPr="003626AC">
        <w:rPr>
          <w:rFonts w:eastAsia="Times New Roman"/>
        </w:rPr>
        <w:t xml:space="preserve">cinco nuevos órganos de gobernanza: </w:t>
      </w:r>
    </w:p>
    <w:p w14:paraId="0408081D" w14:textId="77777777" w:rsidR="00D117D7" w:rsidRPr="003626AC" w:rsidRDefault="00D117D7" w:rsidP="00D117D7">
      <w:pPr>
        <w:pStyle w:val="Prrafodelista"/>
        <w:numPr>
          <w:ilvl w:val="0"/>
          <w:numId w:val="6"/>
        </w:numPr>
        <w:spacing w:after="240"/>
        <w:ind w:left="709"/>
        <w:jc w:val="both"/>
        <w:rPr>
          <w:rFonts w:eastAsia="Times New Roman" w:cstheme="minorHAnsi"/>
        </w:rPr>
      </w:pPr>
      <w:r w:rsidRPr="003626AC">
        <w:rPr>
          <w:rFonts w:eastAsia="Times New Roman" w:cstheme="minorHAnsi"/>
        </w:rPr>
        <w:t xml:space="preserve">Comisión para la Recuperación, Transformación y Resiliencia (presidida por el </w:t>
      </w:r>
      <w:proofErr w:type="gramStart"/>
      <w:r w:rsidRPr="003626AC">
        <w:rPr>
          <w:rFonts w:eastAsia="Times New Roman" w:cstheme="minorHAnsi"/>
        </w:rPr>
        <w:t>Presidente</w:t>
      </w:r>
      <w:proofErr w:type="gramEnd"/>
      <w:r w:rsidRPr="003626AC">
        <w:rPr>
          <w:rFonts w:eastAsia="Times New Roman" w:cstheme="minorHAnsi"/>
        </w:rPr>
        <w:t xml:space="preserve"> del Gobierno y en la que participarán todos los Ministerios del Gobierno, así como las Secretarías de Estado con mayor vinculación a la ejecución del Plan). (No básico)</w:t>
      </w:r>
    </w:p>
    <w:p w14:paraId="432BEC12" w14:textId="77777777" w:rsidR="00D117D7" w:rsidRPr="003626AC" w:rsidRDefault="00093FFD" w:rsidP="00D117D7">
      <w:pPr>
        <w:pStyle w:val="Prrafodelista"/>
        <w:spacing w:after="240"/>
        <w:ind w:left="709"/>
        <w:jc w:val="both"/>
        <w:rPr>
          <w:rFonts w:eastAsia="Times New Roman"/>
          <w:strike/>
          <w:color w:val="FF0000"/>
        </w:rPr>
      </w:pPr>
      <w:r w:rsidRPr="003626AC">
        <w:rPr>
          <w:rFonts w:eastAsia="Times New Roman"/>
        </w:rPr>
        <w:t>E</w:t>
      </w:r>
      <w:r w:rsidR="00D117D7" w:rsidRPr="003626AC">
        <w:rPr>
          <w:rFonts w:eastAsia="Times New Roman"/>
        </w:rPr>
        <w:t>l centro directivo del Ministerio de Hacienda con competencia en materia de fondos europeos formará parte de la Comisión, como autoridad responsable del Mecanismo para la Recuperación y Resiliencia.</w:t>
      </w:r>
    </w:p>
    <w:p w14:paraId="070C3679" w14:textId="77777777" w:rsidR="00D117D7" w:rsidRPr="003626AC" w:rsidRDefault="00D117D7" w:rsidP="00D117D7">
      <w:pPr>
        <w:pStyle w:val="Prrafodelista"/>
        <w:spacing w:after="240"/>
        <w:ind w:left="709"/>
        <w:jc w:val="both"/>
        <w:rPr>
          <w:rFonts w:eastAsia="Times New Roman"/>
        </w:rPr>
      </w:pPr>
      <w:r w:rsidRPr="003626AC">
        <w:rPr>
          <w:rFonts w:eastAsia="Times New Roman"/>
        </w:rPr>
        <w:t>Esta Comisión deberá aprobar un protocolo para informar al Departamento de Asuntos Económicos y G20 de la Presidencia del Gobierno sobre la ejecución del Plan.</w:t>
      </w:r>
    </w:p>
    <w:p w14:paraId="7A9281D1"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Comité Técnico, que dará soporte técnico y legal a la Comisión (entre otras funciones, definidas en el art. 15.3).</w:t>
      </w:r>
      <w:r w:rsidRPr="003626AC">
        <w:t xml:space="preserve"> </w:t>
      </w:r>
      <w:r w:rsidRPr="003626AC">
        <w:rPr>
          <w:rFonts w:eastAsia="Times New Roman"/>
        </w:rPr>
        <w:t>En art. 15.2 se introduce máximo de 20 miembros y funcionamiento de acuerdo con arts. 15 y ss Ley 40 /2015 (Órganos colegiados de las distintas administraciones públicas) (No básico)</w:t>
      </w:r>
    </w:p>
    <w:p w14:paraId="618B222A"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 xml:space="preserve">Unidad de Seguimiento del Plan de Recuperación en la Presidencia del Gobierno, que proporcionará información continua al </w:t>
      </w:r>
      <w:proofErr w:type="gramStart"/>
      <w:r w:rsidRPr="003626AC">
        <w:rPr>
          <w:rFonts w:eastAsia="Times New Roman"/>
        </w:rPr>
        <w:t>Presidente</w:t>
      </w:r>
      <w:proofErr w:type="gramEnd"/>
      <w:r w:rsidRPr="003626AC">
        <w:rPr>
          <w:rFonts w:eastAsia="Times New Roman"/>
        </w:rPr>
        <w:t xml:space="preserve"> del Gobierno y hará un seguimiento político y estratégico del Plan. (No básico)</w:t>
      </w:r>
    </w:p>
    <w:p w14:paraId="31AA8D2F"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Foros y grupos de alto nivel de los principales sectores implicados (en los que participarán departamentos ministeriales, representantes del sector privado, agentes sociales, colectivos y sociedad civil), que servirán de espacios de debate, información, asesoramiento y seguimiento de programas. (No básico)</w:t>
      </w:r>
    </w:p>
    <w:p w14:paraId="76F71B70"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Conferencia Sectorial de Fondos Europeos, con las comunidades y ciudades autónomas, que liderará la Ministra de Hacienda.</w:t>
      </w:r>
    </w:p>
    <w:p w14:paraId="00E48FF4" w14:textId="77777777" w:rsidR="00D117D7" w:rsidRPr="003626AC" w:rsidRDefault="00D117D7" w:rsidP="00D117D7">
      <w:pPr>
        <w:spacing w:after="240"/>
        <w:ind w:left="360"/>
        <w:jc w:val="both"/>
      </w:pPr>
      <w:r w:rsidRPr="003626AC">
        <w:t>Asimismo, se prevé un refuerzo de las capacidades humanas, materiales y organizativas del centro directivo competente del Ministerio de Hacienda (actualmente Dirección de Fondos Europeos).</w:t>
      </w:r>
    </w:p>
    <w:p w14:paraId="5B732548"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Autoridad de contr</w:t>
      </w:r>
      <w:r w:rsidR="00741B19" w:rsidRPr="003626AC">
        <w:rPr>
          <w:rFonts w:eastAsia="Times New Roman"/>
        </w:rPr>
        <w:t>o</w:t>
      </w:r>
      <w:r w:rsidRPr="003626AC">
        <w:rPr>
          <w:rFonts w:eastAsia="Times New Roman"/>
        </w:rPr>
        <w:t>l del Mecanismo para la Recuperación y Resiliencia:</w:t>
      </w:r>
    </w:p>
    <w:p w14:paraId="6B6A2A59" w14:textId="77777777" w:rsidR="00D117D7" w:rsidRPr="003626AC" w:rsidRDefault="00D117D7" w:rsidP="00D117D7">
      <w:pPr>
        <w:pStyle w:val="Prrafodelista"/>
        <w:numPr>
          <w:ilvl w:val="0"/>
          <w:numId w:val="4"/>
        </w:numPr>
        <w:spacing w:after="240"/>
        <w:ind w:left="708"/>
        <w:jc w:val="both"/>
        <w:rPr>
          <w:rFonts w:eastAsia="Times New Roman"/>
        </w:rPr>
      </w:pPr>
      <w:r w:rsidRPr="003626AC">
        <w:rPr>
          <w:rFonts w:eastAsia="Times New Roman"/>
        </w:rPr>
        <w:t>Artículo 21. La Intervención General de la Administración del Estado (</w:t>
      </w:r>
      <w:r w:rsidRPr="003626AC">
        <w:rPr>
          <w:rFonts w:eastAsia="Times New Roman"/>
          <w:u w:val="single"/>
        </w:rPr>
        <w:t>IGAE) actuará como autoridad de control del Instrumento.</w:t>
      </w:r>
      <w:r w:rsidRPr="003626AC">
        <w:rPr>
          <w:rFonts w:eastAsia="Times New Roman"/>
        </w:rPr>
        <w:t xml:space="preserve"> En particular le corresponderán las actuaciones derivadas del diseño y ejercicio de control de los fondos que se exijan por la normativa europea, asumiendo la coordinación de los controles asignados a cualquier otro órgano de control estatal, autonómico o local. Para ello tendrá capacidad para acceder a cualquier registro y obtener información en el ejercicio de sus funciones.</w:t>
      </w:r>
    </w:p>
    <w:p w14:paraId="62E792EA" w14:textId="77777777" w:rsidR="00D117D7" w:rsidRPr="003626AC" w:rsidRDefault="00D117D7" w:rsidP="00D117D7">
      <w:pPr>
        <w:pStyle w:val="Prrafodelista"/>
        <w:numPr>
          <w:ilvl w:val="0"/>
          <w:numId w:val="4"/>
        </w:numPr>
        <w:spacing w:after="240"/>
        <w:ind w:left="708"/>
        <w:jc w:val="both"/>
        <w:rPr>
          <w:rFonts w:eastAsia="Times New Roman"/>
        </w:rPr>
      </w:pPr>
      <w:r w:rsidRPr="003626AC">
        <w:rPr>
          <w:rFonts w:eastAsia="Times New Roman"/>
        </w:rPr>
        <w:t xml:space="preserve">Art. 21.3: Asimismo, </w:t>
      </w:r>
      <w:r w:rsidRPr="003626AC">
        <w:rPr>
          <w:rFonts w:eastAsia="Times New Roman"/>
          <w:u w:val="single"/>
        </w:rPr>
        <w:t>el Servicio Nacional de Coordinación Antifraude</w:t>
      </w:r>
      <w:r w:rsidRPr="003626AC">
        <w:rPr>
          <w:rFonts w:eastAsia="Times New Roman"/>
        </w:rPr>
        <w:t xml:space="preserve"> promoverá las labores de prevención, detección e investigación del fraude en relación con el Plan.</w:t>
      </w:r>
    </w:p>
    <w:p w14:paraId="68FBFB23" w14:textId="77777777" w:rsidR="00D117D7" w:rsidRPr="003626AC" w:rsidRDefault="00D117D7" w:rsidP="00D117D7">
      <w:pPr>
        <w:pStyle w:val="Prrafodelista"/>
        <w:numPr>
          <w:ilvl w:val="0"/>
          <w:numId w:val="4"/>
        </w:numPr>
        <w:spacing w:after="240"/>
        <w:ind w:left="720"/>
        <w:jc w:val="both"/>
        <w:rPr>
          <w:rFonts w:eastAsia="Times New Roman"/>
        </w:rPr>
      </w:pPr>
      <w:r w:rsidRPr="003626AC">
        <w:lastRenderedPageBreak/>
        <w:t xml:space="preserve">El Gobierno rendirá cuentas periódicamente </w:t>
      </w:r>
      <w:r w:rsidRPr="003626AC">
        <w:rPr>
          <w:rFonts w:eastAsia="Times New Roman"/>
        </w:rPr>
        <w:t>sobre los progresos y avances del Plan ante la Comisión Mixta para la UE de las Cortes Generales.</w:t>
      </w:r>
    </w:p>
    <w:p w14:paraId="25DE6FA4"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 xml:space="preserve">Gestión de recursos humanos. </w:t>
      </w:r>
      <w:r w:rsidRPr="003626AC">
        <w:rPr>
          <w:rFonts w:eastAsia="Times New Roman"/>
          <w:u w:val="single"/>
        </w:rPr>
        <w:t>(No básico)</w:t>
      </w:r>
      <w:r w:rsidRPr="003626AC">
        <w:rPr>
          <w:rFonts w:eastAsia="Times New Roman"/>
        </w:rPr>
        <w:t xml:space="preserve"> Artículos 27 a 34.</w:t>
      </w:r>
    </w:p>
    <w:p w14:paraId="616DBF11" w14:textId="1FA0C87B" w:rsidR="00D117D7" w:rsidRPr="003626AC" w:rsidRDefault="00D117D7" w:rsidP="00D117D7">
      <w:pPr>
        <w:pStyle w:val="Prrafodelista"/>
        <w:numPr>
          <w:ilvl w:val="0"/>
          <w:numId w:val="4"/>
        </w:numPr>
        <w:spacing w:after="240"/>
        <w:ind w:left="720"/>
        <w:jc w:val="both"/>
        <w:rPr>
          <w:rFonts w:eastAsia="Times New Roman"/>
        </w:rPr>
      </w:pPr>
      <w:r w:rsidRPr="003626AC">
        <w:rPr>
          <w:rFonts w:eastAsia="Times New Roman"/>
        </w:rPr>
        <w:t>Art 27.</w:t>
      </w:r>
      <w:r w:rsidR="002A64B4">
        <w:rPr>
          <w:rFonts w:eastAsia="Times New Roman"/>
        </w:rPr>
        <w:t xml:space="preserve"> </w:t>
      </w:r>
      <w:r w:rsidRPr="003626AC">
        <w:rPr>
          <w:rFonts w:eastAsia="Times New Roman"/>
        </w:rPr>
        <w:t>Se adoptarán medidas para movilizar y redistribuir los recursos necesario en orden agil</w:t>
      </w:r>
      <w:r w:rsidR="003626AC" w:rsidRPr="003626AC">
        <w:rPr>
          <w:rFonts w:eastAsia="Times New Roman"/>
        </w:rPr>
        <w:t>iz</w:t>
      </w:r>
      <w:r w:rsidRPr="003626AC">
        <w:rPr>
          <w:rFonts w:eastAsia="Times New Roman"/>
        </w:rPr>
        <w:t xml:space="preserve">ar la </w:t>
      </w:r>
      <w:proofErr w:type="gramStart"/>
      <w:r w:rsidRPr="003626AC">
        <w:rPr>
          <w:rFonts w:eastAsia="Times New Roman"/>
        </w:rPr>
        <w:t>gestión  y</w:t>
      </w:r>
      <w:proofErr w:type="gramEnd"/>
      <w:r w:rsidRPr="003626AC">
        <w:rPr>
          <w:rFonts w:eastAsia="Times New Roman"/>
        </w:rPr>
        <w:t xml:space="preserve"> absorción de los Fondos; y para fomentar la capacitación del personal y el reconocimiento de su trabajo, tanto del esfuerzo colectivo como del esfuerzo individual.</w:t>
      </w:r>
    </w:p>
    <w:p w14:paraId="4A47DCDF" w14:textId="77777777" w:rsidR="00D117D7" w:rsidRPr="003626AC" w:rsidRDefault="00D117D7" w:rsidP="00D117D7">
      <w:pPr>
        <w:pStyle w:val="Prrafodelista"/>
        <w:numPr>
          <w:ilvl w:val="0"/>
          <w:numId w:val="4"/>
        </w:numPr>
        <w:spacing w:after="240"/>
        <w:ind w:left="720"/>
        <w:jc w:val="both"/>
        <w:rPr>
          <w:rFonts w:eastAsia="Times New Roman"/>
        </w:rPr>
      </w:pPr>
      <w:r w:rsidRPr="003626AC">
        <w:rPr>
          <w:rFonts w:eastAsia="Times New Roman"/>
        </w:rPr>
        <w:t>Art. 28.2: se subraya la necesidad de “procurar una tramitación ágil y preferente en la provisión de los puestos de trabajo de las unidades administrativas de carácter provisional para la ejecución del Plan de Recuperación, Transformación y Resiliencia.</w:t>
      </w:r>
    </w:p>
    <w:p w14:paraId="41F12DDB" w14:textId="77777777" w:rsidR="00D117D7" w:rsidRPr="003626AC" w:rsidRDefault="00D117D7" w:rsidP="00D117D7">
      <w:pPr>
        <w:pStyle w:val="Prrafodelista"/>
        <w:numPr>
          <w:ilvl w:val="0"/>
          <w:numId w:val="4"/>
        </w:numPr>
        <w:spacing w:after="240"/>
        <w:ind w:left="720"/>
        <w:jc w:val="both"/>
        <w:rPr>
          <w:rFonts w:eastAsia="Times New Roman"/>
        </w:rPr>
      </w:pPr>
      <w:r w:rsidRPr="003626AC">
        <w:rPr>
          <w:rFonts w:eastAsia="Times New Roman"/>
        </w:rPr>
        <w:t>Art. 31. “se podrá acordar la asignación de funciones a tiempo parcial del personal funcionario al servicio del departamento sin cambio de adscripción, ni de puesto de trabajo ni de la persona.”</w:t>
      </w:r>
    </w:p>
    <w:p w14:paraId="5C78F20A" w14:textId="77777777" w:rsidR="00D117D7" w:rsidRPr="003626AC" w:rsidRDefault="00D117D7" w:rsidP="00D117D7">
      <w:pPr>
        <w:pStyle w:val="Prrafodelista"/>
        <w:numPr>
          <w:ilvl w:val="0"/>
          <w:numId w:val="4"/>
        </w:numPr>
        <w:spacing w:after="240"/>
        <w:ind w:left="720"/>
        <w:jc w:val="both"/>
        <w:rPr>
          <w:rFonts w:eastAsia="Times New Roman"/>
        </w:rPr>
      </w:pPr>
      <w:r w:rsidRPr="003626AC">
        <w:rPr>
          <w:rFonts w:eastAsia="Times New Roman"/>
        </w:rPr>
        <w:t>Art. 34. “se podrá reforzar las plantillas”</w:t>
      </w:r>
    </w:p>
    <w:p w14:paraId="26EA4E6A" w14:textId="77777777" w:rsidR="00D117D7" w:rsidRPr="003626AC" w:rsidRDefault="00D117D7" w:rsidP="00D117D7">
      <w:pPr>
        <w:pStyle w:val="Prrafodelista"/>
        <w:numPr>
          <w:ilvl w:val="0"/>
          <w:numId w:val="4"/>
        </w:numPr>
        <w:spacing w:after="240"/>
        <w:ind w:left="720"/>
        <w:jc w:val="both"/>
        <w:rPr>
          <w:rFonts w:eastAsia="Times New Roman"/>
        </w:rPr>
      </w:pPr>
      <w:r w:rsidRPr="003626AC">
        <w:rPr>
          <w:rFonts w:eastAsia="Times New Roman"/>
        </w:rPr>
        <w:t>Como instrumentos de compensación del personal adscrito a la ejecución del Plan, se posibilita la utilización de una retribución extraordinaria por consecución de objetivos o por asignación de funciones adicionales a tiempo parcial. (Disposición adicional segunda) (No básica)</w:t>
      </w:r>
    </w:p>
    <w:p w14:paraId="05CEF7C0"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Digitalización de la gestión (no básico) Artículos 35 y 36</w:t>
      </w:r>
    </w:p>
    <w:p w14:paraId="70033FE9" w14:textId="77777777" w:rsidR="00D117D7" w:rsidRPr="003626AC" w:rsidRDefault="00D117D7" w:rsidP="00D117D7">
      <w:pPr>
        <w:pStyle w:val="Prrafodelista"/>
        <w:numPr>
          <w:ilvl w:val="0"/>
          <w:numId w:val="4"/>
        </w:numPr>
        <w:spacing w:after="240"/>
        <w:ind w:left="720"/>
        <w:jc w:val="both"/>
        <w:rPr>
          <w:rFonts w:eastAsia="Times New Roman"/>
        </w:rPr>
      </w:pPr>
      <w:r w:rsidRPr="003626AC">
        <w:rPr>
          <w:rFonts w:eastAsia="Times New Roman"/>
        </w:rPr>
        <w:t>Art. 35: Desaparece el portal web único del Plan (que aparecía en el borrador de la norma</w:t>
      </w:r>
      <w:proofErr w:type="gramStart"/>
      <w:r w:rsidRPr="003626AC">
        <w:rPr>
          <w:rFonts w:eastAsia="Times New Roman"/>
        </w:rPr>
        <w:t>) ,</w:t>
      </w:r>
      <w:proofErr w:type="gramEnd"/>
      <w:r w:rsidRPr="003626AC">
        <w:rPr>
          <w:rFonts w:eastAsia="Times New Roman"/>
        </w:rPr>
        <w:t xml:space="preserve"> manteniéndose únicamente la tramitación de solicitudes y participación a través de las sedes electrónicas de los departamentos ministeriales y organismos competentes</w:t>
      </w:r>
    </w:p>
    <w:p w14:paraId="47B7D291"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Gestión y control presupuestario del Plan</w:t>
      </w:r>
    </w:p>
    <w:p w14:paraId="7215E781" w14:textId="77777777" w:rsidR="00D117D7" w:rsidRPr="003626AC" w:rsidRDefault="00D117D7" w:rsidP="00D117D7">
      <w:pPr>
        <w:pStyle w:val="Prrafodelista"/>
        <w:numPr>
          <w:ilvl w:val="0"/>
          <w:numId w:val="2"/>
        </w:numPr>
        <w:spacing w:after="240"/>
        <w:ind w:left="714" w:hanging="357"/>
        <w:jc w:val="both"/>
      </w:pPr>
      <w:r w:rsidRPr="003626AC">
        <w:t>Se busca la flexibilización de su gestión. Los ingresos por transferencias que reciban las CCAA procedentes del Mecanismo de Recuperación y Resiliencia y del REACT-EU están legalmente afectados a financiar los proyectos o líneas de actuación del Plan, con el grado de detalle especificado en el mismo.</w:t>
      </w:r>
    </w:p>
    <w:p w14:paraId="4D5F301B" w14:textId="77777777" w:rsidR="00D117D7" w:rsidRPr="003626AC" w:rsidRDefault="00D117D7" w:rsidP="00D117D7">
      <w:pPr>
        <w:pStyle w:val="Prrafodelista"/>
        <w:numPr>
          <w:ilvl w:val="0"/>
          <w:numId w:val="2"/>
        </w:numPr>
        <w:spacing w:after="240"/>
        <w:ind w:left="714" w:hanging="357"/>
        <w:jc w:val="both"/>
      </w:pPr>
      <w:r w:rsidRPr="003626AC">
        <w:t>Se podrá proceder a la tramitación anticipada de expedientes de gasto de ejercicios posteriores, llegando a la fase de formación del compromiso de gasto, para cualquier tipo de expediente que se financie con los fondos procedentes del Mecanismo de Recuperación y Resiliencia y del REACT-EU.</w:t>
      </w:r>
    </w:p>
    <w:p w14:paraId="57C5598B" w14:textId="77777777" w:rsidR="00D117D7" w:rsidRPr="003626AC" w:rsidRDefault="00D117D7" w:rsidP="00D117D7">
      <w:pPr>
        <w:pStyle w:val="Prrafodelista"/>
        <w:numPr>
          <w:ilvl w:val="0"/>
          <w:numId w:val="2"/>
        </w:numPr>
        <w:spacing w:after="240"/>
        <w:ind w:left="714" w:hanging="357"/>
        <w:jc w:val="both"/>
      </w:pPr>
      <w:r w:rsidRPr="003626AC">
        <w:t>Se propone incrementar el número de anualidades y autorizar la adquisición de compromisos de gastos que hayan de atenderse en ejercicios posteriores. Artículo 41 (No básico)</w:t>
      </w:r>
    </w:p>
    <w:p w14:paraId="49090C40" w14:textId="77777777" w:rsidR="00D117D7" w:rsidRPr="003626AC" w:rsidRDefault="00D117D7" w:rsidP="00D117D7">
      <w:pPr>
        <w:pStyle w:val="Prrafodelista"/>
        <w:numPr>
          <w:ilvl w:val="0"/>
          <w:numId w:val="2"/>
        </w:numPr>
        <w:spacing w:after="240"/>
        <w:ind w:left="714" w:hanging="357"/>
        <w:jc w:val="both"/>
      </w:pPr>
      <w:r w:rsidRPr="003626AC">
        <w:t>Las órdenes de cierre de presupuestos de gastos y operaciones no presupuestarias podrán disponer de plazos diferenciados para los créditos vinculados. (No básico)</w:t>
      </w:r>
    </w:p>
    <w:p w14:paraId="7B27DC85" w14:textId="77777777" w:rsidR="006914B3" w:rsidRPr="003626AC" w:rsidRDefault="006914B3" w:rsidP="006914B3">
      <w:pPr>
        <w:pStyle w:val="Prrafodelista"/>
        <w:spacing w:after="240"/>
        <w:ind w:left="714"/>
        <w:jc w:val="both"/>
      </w:pPr>
    </w:p>
    <w:p w14:paraId="4343E263" w14:textId="77777777" w:rsidR="00741B19" w:rsidRPr="003626AC" w:rsidRDefault="00741B19" w:rsidP="00741B19">
      <w:pPr>
        <w:pStyle w:val="Prrafodelista"/>
        <w:spacing w:after="240"/>
        <w:ind w:left="714"/>
        <w:jc w:val="both"/>
      </w:pPr>
    </w:p>
    <w:p w14:paraId="1E50C469" w14:textId="77777777" w:rsidR="00D117D7" w:rsidRPr="003626AC" w:rsidRDefault="00D117D7" w:rsidP="00D117D7">
      <w:pPr>
        <w:pStyle w:val="Prrafodelista"/>
        <w:numPr>
          <w:ilvl w:val="0"/>
          <w:numId w:val="2"/>
        </w:numPr>
        <w:spacing w:after="240"/>
        <w:ind w:left="714" w:hanging="357"/>
        <w:jc w:val="both"/>
      </w:pPr>
      <w:r w:rsidRPr="003626AC">
        <w:t xml:space="preserve">Se permite la incorporación de los remanentes de crédito que amparen compromisos de gastos contraídos. El Art. 42, último párrafo añade que las incorporaciones de crédito en el presupuesto de los organismos autónomos, entidades de la Seguridad Social y el resto de </w:t>
      </w:r>
      <w:proofErr w:type="gramStart"/>
      <w:r w:rsidRPr="003626AC">
        <w:t>entidades</w:t>
      </w:r>
      <w:proofErr w:type="gramEnd"/>
      <w:r w:rsidRPr="003626AC">
        <w:t xml:space="preserve"> con presupuesto de gastos limitativo únicamente podrán realizarse con cargo a la parte del remanente de tesorería que al final del ejercicio anterior no haya sido aplicada al presupuesto del organismo. (No Básico)</w:t>
      </w:r>
    </w:p>
    <w:p w14:paraId="1B8BBED2" w14:textId="77777777" w:rsidR="00D117D7" w:rsidRPr="003626AC" w:rsidRDefault="00D117D7" w:rsidP="00D117D7">
      <w:pPr>
        <w:pStyle w:val="Prrafodelista"/>
        <w:numPr>
          <w:ilvl w:val="0"/>
          <w:numId w:val="2"/>
        </w:numPr>
        <w:spacing w:after="240"/>
        <w:ind w:left="714" w:hanging="357"/>
        <w:jc w:val="both"/>
      </w:pPr>
      <w:r w:rsidRPr="003626AC">
        <w:t>Se flexibiliza</w:t>
      </w:r>
      <w:r w:rsidRPr="003626AC">
        <w:rPr>
          <w:color w:val="000000"/>
        </w:rPr>
        <w:t>n</w:t>
      </w:r>
      <w:r w:rsidRPr="003626AC">
        <w:t xml:space="preserve"> la posibilidad de realizar pagos anticipados de los fondos comprometidos (hasta un 50% del total a percibir) y las reglas de gestión de gastos. Artículo 40. (No básico)</w:t>
      </w:r>
    </w:p>
    <w:p w14:paraId="5B244D7D"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En materia de fiscalización y control,</w:t>
      </w:r>
    </w:p>
    <w:p w14:paraId="1ABD8E07" w14:textId="77777777" w:rsidR="00D117D7" w:rsidRPr="003626AC" w:rsidRDefault="00D117D7" w:rsidP="00D117D7">
      <w:pPr>
        <w:pStyle w:val="Prrafodelista"/>
        <w:numPr>
          <w:ilvl w:val="0"/>
          <w:numId w:val="2"/>
        </w:numPr>
        <w:spacing w:after="240"/>
        <w:ind w:left="714" w:hanging="357"/>
        <w:jc w:val="both"/>
      </w:pPr>
      <w:r w:rsidRPr="003626AC">
        <w:t xml:space="preserve">El art. 45 publicado en el BOE introduce profundas modificaciones sobre el anterior borrador. Entre otras muchas cuestiones, la fiscalización previa de los actos incluidos en el art. 150.2.a) de la Ley General Presupuestaria (los actos que reconozcan derechos de contenido económico aprueben gastos, adquieran compromisos de gasto, o acuerden movimientos de fondos y valores), y la intervención previa prevista en el art. 150.2.b) (reconocimiento de las obligaciones y de la comprobación de la inversión), </w:t>
      </w:r>
      <w:r w:rsidRPr="003626AC">
        <w:rPr>
          <w:u w:val="single"/>
        </w:rPr>
        <w:t>se ejercerá, siempre que dichos actos estén sujetos a función interventora, en régimen de requisitos básicos.</w:t>
      </w:r>
      <w:r w:rsidRPr="003626AC">
        <w:t xml:space="preserve"> No procederá la aplicación del régimen general de fiscalización en ningún caso. (No básico)</w:t>
      </w:r>
    </w:p>
    <w:p w14:paraId="74FE5F4F" w14:textId="77777777" w:rsidR="00D117D7" w:rsidRPr="003626AC" w:rsidRDefault="00D117D7" w:rsidP="00D117D7">
      <w:pPr>
        <w:pStyle w:val="Prrafodelista"/>
        <w:numPr>
          <w:ilvl w:val="0"/>
          <w:numId w:val="2"/>
        </w:numPr>
        <w:spacing w:after="240"/>
        <w:ind w:left="714" w:hanging="357"/>
        <w:jc w:val="both"/>
      </w:pPr>
      <w:r w:rsidRPr="003626AC">
        <w:t>El Consejo de Ministros determinará aquellos extremos adicionales que se deberán verificar aplicables a los expedientes que implementen la aplicación de estos fondos. El art. 45.2 relaciona cuales serán estos extremos, en tanto no se apruebe el citado acuerdo específico del Consejo de Ministros.</w:t>
      </w:r>
    </w:p>
    <w:p w14:paraId="5D9B3F73" w14:textId="77777777" w:rsidR="00D117D7" w:rsidRPr="003626AC" w:rsidRDefault="00D117D7" w:rsidP="00D117D7">
      <w:pPr>
        <w:pStyle w:val="Prrafodelista"/>
        <w:spacing w:after="240"/>
        <w:ind w:left="714"/>
        <w:jc w:val="both"/>
      </w:pPr>
    </w:p>
    <w:p w14:paraId="27DE1265"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Especialidades en la tramitación de los procedimientos</w:t>
      </w:r>
    </w:p>
    <w:p w14:paraId="0D746A96" w14:textId="77777777" w:rsidR="00D117D7" w:rsidRPr="003626AC" w:rsidRDefault="00D117D7" w:rsidP="00D117D7">
      <w:pPr>
        <w:pStyle w:val="Prrafodelista"/>
        <w:numPr>
          <w:ilvl w:val="0"/>
          <w:numId w:val="11"/>
        </w:numPr>
        <w:spacing w:after="240"/>
        <w:jc w:val="both"/>
      </w:pPr>
      <w:r w:rsidRPr="003626AC">
        <w:t>Los procedimientos de elaboración de normas adoptadas en el marco de la ejecución de los fondos, tendrás carácter urgente, reduciéndose los plazos a la mitad. Artículo 47. (No básico)</w:t>
      </w:r>
    </w:p>
    <w:p w14:paraId="4629B151" w14:textId="77777777" w:rsidR="00D117D7" w:rsidRPr="003626AC" w:rsidRDefault="00D117D7" w:rsidP="00D117D7">
      <w:pPr>
        <w:pStyle w:val="Prrafodelista"/>
        <w:numPr>
          <w:ilvl w:val="0"/>
          <w:numId w:val="11"/>
        </w:numPr>
        <w:spacing w:after="240"/>
        <w:jc w:val="both"/>
      </w:pPr>
      <w:r w:rsidRPr="003626AC">
        <w:t>Los procedimientos administrativos de ejecución de gastos vinculados a los fondos se declararán de tramitación urgente y de despacho prioritario. Art. 48 (No básico)</w:t>
      </w:r>
    </w:p>
    <w:p w14:paraId="48844C70"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En materia de contratación administrativa:</w:t>
      </w:r>
    </w:p>
    <w:p w14:paraId="167540A1" w14:textId="77777777" w:rsidR="00D117D7" w:rsidRPr="003626AC" w:rsidRDefault="00D117D7" w:rsidP="00D117D7">
      <w:pPr>
        <w:pStyle w:val="Prrafodelista"/>
        <w:numPr>
          <w:ilvl w:val="0"/>
          <w:numId w:val="2"/>
        </w:numPr>
        <w:spacing w:after="240"/>
        <w:ind w:left="714" w:hanging="357"/>
        <w:jc w:val="both"/>
      </w:pPr>
      <w:r w:rsidRPr="003626AC">
        <w:t>Estos contratos quedan excepcionados del requisito de la autorización prevista en los supuestos del art. 324 LCSP. Artículo 49.</w:t>
      </w:r>
    </w:p>
    <w:p w14:paraId="2B3D0F18" w14:textId="77777777" w:rsidR="00D117D7" w:rsidRPr="003626AC" w:rsidRDefault="00D117D7" w:rsidP="00D117D7">
      <w:pPr>
        <w:pStyle w:val="Prrafodelista"/>
        <w:numPr>
          <w:ilvl w:val="0"/>
          <w:numId w:val="2"/>
        </w:numPr>
        <w:spacing w:after="240"/>
        <w:ind w:left="714" w:hanging="357"/>
        <w:jc w:val="both"/>
      </w:pPr>
      <w:r w:rsidRPr="003626AC">
        <w:t>Se podrá justificar la aplicación del régimen excepcional de tramitación urgente a los contratos financiados con el plan, (artículo 50):</w:t>
      </w:r>
    </w:p>
    <w:p w14:paraId="6078E4CF" w14:textId="77777777" w:rsidR="00D117D7" w:rsidRPr="003626AC" w:rsidRDefault="00D117D7" w:rsidP="00D117D7">
      <w:pPr>
        <w:pStyle w:val="Prrafodelista"/>
        <w:numPr>
          <w:ilvl w:val="0"/>
          <w:numId w:val="2"/>
        </w:numPr>
        <w:spacing w:after="240"/>
        <w:ind w:left="714" w:hanging="357"/>
        <w:jc w:val="both"/>
      </w:pPr>
      <w:r w:rsidRPr="003626AC">
        <w:lastRenderedPageBreak/>
        <w:t>Se posibilita la reducción de plazos en la tramitación de los procedimientos abiertos, restringidos y licitados con negociación.</w:t>
      </w:r>
    </w:p>
    <w:p w14:paraId="18EEB1EB" w14:textId="77777777" w:rsidR="00D117D7" w:rsidRPr="003626AC" w:rsidRDefault="00D117D7" w:rsidP="00D117D7">
      <w:pPr>
        <w:pStyle w:val="Prrafodelista"/>
        <w:numPr>
          <w:ilvl w:val="0"/>
          <w:numId w:val="2"/>
        </w:numPr>
        <w:spacing w:after="240"/>
        <w:ind w:left="714" w:hanging="357"/>
        <w:jc w:val="both"/>
      </w:pPr>
      <w:r w:rsidRPr="003626AC">
        <w:t>Se disminuyen los umbrales económicos para recurrir a los procedimientos abiertos simplificados abreviado en el contrato de obras (de 2 millones a 200.000 €) (Artículo 51), mientras que se elevan los umbrales pare recurrir a los procedimientos abiertos simplificados ordinarios para todos los contratos (de 2.000.000 € hasta 5.350.000€ , para los contratos de obras; y para los contratos de suministro y de servicios, de 100.000 € a (i) 139.000 €, para los contratos que hayan de ser adjudicados por la AGE, sus Organismos Autónomos, o las Entidades Gestoras y Servicios Comunes de la Seguridad Social, o (ii) 214.000 €, para los que hayan de adjudicarse por entidades del sector público distintas a las anteriores) Art.52 .</w:t>
      </w:r>
    </w:p>
    <w:p w14:paraId="182C3A3F" w14:textId="77777777" w:rsidR="00D117D7" w:rsidRPr="003626AC" w:rsidRDefault="00D117D7" w:rsidP="00D117D7">
      <w:pPr>
        <w:pStyle w:val="Prrafodelista"/>
        <w:numPr>
          <w:ilvl w:val="0"/>
          <w:numId w:val="2"/>
        </w:numPr>
        <w:spacing w:after="240"/>
        <w:jc w:val="both"/>
      </w:pPr>
      <w:r w:rsidRPr="003626AC">
        <w:t>El RDL publicado en el BOE ya no incluye la posibilidad que sí preveía el borrador de que la inclusión de unidades nuevas y/o de precios nuevos en los contratos de obra financiados con fondos procedentes del Plan no tendrían la consideración de modificaciones.</w:t>
      </w:r>
    </w:p>
    <w:p w14:paraId="73C34D5D" w14:textId="77777777" w:rsidR="00D117D7" w:rsidRPr="003626AC" w:rsidRDefault="00D117D7" w:rsidP="00D117D7">
      <w:pPr>
        <w:pStyle w:val="Prrafodelista"/>
        <w:numPr>
          <w:ilvl w:val="0"/>
          <w:numId w:val="2"/>
        </w:numPr>
        <w:spacing w:after="240"/>
        <w:ind w:left="714" w:hanging="357"/>
        <w:jc w:val="both"/>
      </w:pPr>
      <w:r w:rsidRPr="003626AC">
        <w:t>Se agilizan los plazos de interposición y pronunciamiento respecto del recurso especial en materia de contratación (Art. 58), creándose una nueva sección en el Tribunal Administrativo Central de Recursos Contractuales para reforzar su composición (DF 5ª</w:t>
      </w:r>
      <w:proofErr w:type="gramStart"/>
      <w:r w:rsidRPr="003626AC">
        <w:t>)..</w:t>
      </w:r>
      <w:proofErr w:type="gramEnd"/>
    </w:p>
    <w:p w14:paraId="267BD7C1" w14:textId="77777777" w:rsidR="00D117D7" w:rsidRPr="003626AC" w:rsidRDefault="00D117D7" w:rsidP="00D117D7">
      <w:pPr>
        <w:pStyle w:val="Prrafodelista"/>
        <w:numPr>
          <w:ilvl w:val="0"/>
          <w:numId w:val="2"/>
        </w:numPr>
        <w:spacing w:after="240"/>
        <w:ind w:left="714" w:hanging="357"/>
        <w:jc w:val="both"/>
      </w:pPr>
      <w:r w:rsidRPr="003626AC">
        <w:t>Se posibilita a las entidades contratantes a ejecutar directamente las prestaciones valiéndose de un medio propio, flexibilizándose el régimen de autorizaciones requerido hasta la fecha. Artículo 55. (No básico)</w:t>
      </w:r>
    </w:p>
    <w:p w14:paraId="7810E166" w14:textId="77777777" w:rsidR="00D117D7" w:rsidRPr="003626AC" w:rsidRDefault="00D117D7" w:rsidP="00D117D7">
      <w:pPr>
        <w:pStyle w:val="Prrafodelista"/>
        <w:numPr>
          <w:ilvl w:val="0"/>
          <w:numId w:val="2"/>
        </w:numPr>
        <w:spacing w:after="240"/>
        <w:ind w:left="714" w:hanging="357"/>
        <w:jc w:val="both"/>
      </w:pPr>
      <w:r w:rsidRPr="003626AC">
        <w:t xml:space="preserve">La ejecución del Plan, cuando el contrato de concesión de obras o de servicios esté sujeto a regulación armonizada, podrá adjudicarse directamente a una sociedad de economía mixta (Art. 69) en la que concurra mayoritariamente capital público con capital privado, siempre que </w:t>
      </w:r>
      <w:r w:rsidRPr="003626AC">
        <w:rPr>
          <w:rFonts w:eastAsia="Times New Roman"/>
        </w:rPr>
        <w:t>(i) la elección del socio privado se haya efectuado de conformidad con la Ley de Contratos del Sector Público y la Ley de Contratos de Sectores Excluidos, según proceda, y (ii) que no se introduzcan modificaciones en el objeto y las condiciones del contrato que se tuvieron en cuenta en la selección del socio privado. Respecto a los contratos no sujetos a regulación armonizada, se establecen especialidades en dichas condiciones.</w:t>
      </w:r>
    </w:p>
    <w:p w14:paraId="3AA4018A" w14:textId="77777777" w:rsidR="00D117D7" w:rsidRPr="003626AC" w:rsidRDefault="00D117D7" w:rsidP="00D117D7">
      <w:pPr>
        <w:pStyle w:val="Prrafodelista"/>
        <w:numPr>
          <w:ilvl w:val="0"/>
          <w:numId w:val="2"/>
        </w:numPr>
        <w:spacing w:after="240"/>
        <w:ind w:left="714" w:hanging="357"/>
        <w:jc w:val="both"/>
      </w:pPr>
      <w:r w:rsidRPr="003626AC">
        <w:rPr>
          <w:rFonts w:eastAsia="Times New Roman"/>
        </w:rPr>
        <w:t>El régimen del periodo de recuperación de la inversión en los contratos de concesión de obras o de servicios también se ve alterado en lo relativo al valor de la tasa de descuento, que el Real Decreto 55/2017, de 3 de febrero, por el que se desarrolla la Ley 2/2015, de 30 de marzo, de desindexación de la economía española actualmente define como el “</w:t>
      </w:r>
      <w:r w:rsidRPr="003626AC">
        <w:rPr>
          <w:rFonts w:eastAsia="Times New Roman"/>
          <w:i/>
        </w:rPr>
        <w:t>rendimiento medio en el mercado secundario de la deuda del Estado a 10 años en los últimos seis meses incrementado en un diferencial de 200 puntos básicos</w:t>
      </w:r>
      <w:r w:rsidRPr="003626AC">
        <w:rPr>
          <w:rFonts w:eastAsia="Times New Roman"/>
        </w:rPr>
        <w:t>”. En este sentido, el RD-ley modifica este cálculo, señalando que se utilizará el rendimiento medio en el mercado secundario de la deuda del Estado a 30 años incrementado en un diferencial de hasta 300 puntos básicos. Artículo 56.</w:t>
      </w:r>
    </w:p>
    <w:p w14:paraId="40DBCBCC" w14:textId="77777777" w:rsidR="00D117D7" w:rsidRPr="003626AC" w:rsidRDefault="00D117D7" w:rsidP="00D117D7">
      <w:pPr>
        <w:pStyle w:val="Prrafodelista"/>
        <w:numPr>
          <w:ilvl w:val="0"/>
          <w:numId w:val="1"/>
        </w:numPr>
        <w:jc w:val="both"/>
        <w:rPr>
          <w:rFonts w:eastAsia="Times New Roman"/>
        </w:rPr>
      </w:pPr>
      <w:r w:rsidRPr="003626AC">
        <w:rPr>
          <w:rFonts w:eastAsia="Times New Roman"/>
        </w:rPr>
        <w:t>Simplificación de la tramitación de convenios administrativos (reducción de plazos y autorizaciones preceptivas), facilitando así las colaboraciones público-privadas (Art. 59). (No básico)</w:t>
      </w:r>
    </w:p>
    <w:p w14:paraId="4B262195" w14:textId="77777777" w:rsidR="00D117D7" w:rsidRPr="003626AC" w:rsidRDefault="00D117D7" w:rsidP="00D117D7">
      <w:pPr>
        <w:pStyle w:val="Prrafodelista"/>
        <w:numPr>
          <w:ilvl w:val="0"/>
          <w:numId w:val="2"/>
        </w:numPr>
        <w:spacing w:after="240"/>
        <w:ind w:left="714" w:hanging="357"/>
        <w:jc w:val="both"/>
        <w:rPr>
          <w:rFonts w:eastAsia="Times New Roman"/>
        </w:rPr>
      </w:pPr>
      <w:r w:rsidRPr="003626AC">
        <w:rPr>
          <w:rFonts w:eastAsia="Times New Roman"/>
        </w:rPr>
        <w:t>Se permite su tramitación anticipada, hasta la fase de formalización del convenio, en el ejercicio anterior al de su ejecución presupuestaria.</w:t>
      </w:r>
    </w:p>
    <w:p w14:paraId="10E32E1E" w14:textId="77777777" w:rsidR="00741B19" w:rsidRPr="003626AC" w:rsidRDefault="00741B19" w:rsidP="00741B19">
      <w:pPr>
        <w:pStyle w:val="Prrafodelista"/>
        <w:spacing w:after="240"/>
        <w:ind w:left="714"/>
        <w:jc w:val="both"/>
        <w:rPr>
          <w:rFonts w:eastAsia="Times New Roman"/>
        </w:rPr>
      </w:pPr>
    </w:p>
    <w:p w14:paraId="766CF855"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permite que, excepcionalmente, estos convenios puedan tener una duración superior a la legalmente establecida, como máximo de seis años, con posibilidad de una prórroga de otros seis.</w:t>
      </w:r>
    </w:p>
    <w:p w14:paraId="4D7FC100"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prevé la posibilidad de que el acreedor de la Administración, en los términos previstos en el convenio, pueda tener derecho a percibir un anticipo por las operaciones preparatorias que sean necesarias para realizar las actuaciones financiadas, hasta un límite máximo del 50% de la cantidad total a percibir.</w:t>
      </w:r>
    </w:p>
    <w:p w14:paraId="391BFB09"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 xml:space="preserve">Simplificación de la tramitación de subvenciones relacionadas con los fondos, </w:t>
      </w:r>
    </w:p>
    <w:p w14:paraId="017A608A"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 xml:space="preserve">Se elimina la autorización del Consejo de Ministros del artículo 10.2 de la Ley de Subvenciones. </w:t>
      </w:r>
    </w:p>
    <w:p w14:paraId="4ED6408F"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eliminan informes del Ministerio de Hacienda. Artículo 60 2 y 3. No básico</w:t>
      </w:r>
    </w:p>
    <w:p w14:paraId="0C779129"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prevé que las bases reguladoras de las subvenciones podrán incorporar su convocatoria (Art. 61).</w:t>
      </w:r>
    </w:p>
    <w:p w14:paraId="62087D5A"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Solo serán exigibles los informes de los Servicios Jurídicos y de la Intervención delegada (Artículo 61.2) (No básico)</w:t>
      </w:r>
    </w:p>
    <w:p w14:paraId="7ABDCD05"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reduce la documentación a presentar por los beneficiarios (Artículo 61.3) (No básico)</w:t>
      </w:r>
    </w:p>
    <w:p w14:paraId="5E6F2529"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posibilita otorgar subvenciones de concurrencia no competitiva para situaciones concretas que no requieran de valoración comparativa.</w:t>
      </w:r>
    </w:p>
    <w:p w14:paraId="68F188E8" w14:textId="2F3CB2FF"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simplifica la documentación para la justificación de la a</w:t>
      </w:r>
      <w:r w:rsidR="003C3873">
        <w:rPr>
          <w:rFonts w:eastAsia="Times New Roman"/>
        </w:rPr>
        <w:t>p</w:t>
      </w:r>
      <w:r w:rsidRPr="003626AC">
        <w:rPr>
          <w:rFonts w:eastAsia="Times New Roman"/>
        </w:rPr>
        <w:t>lica</w:t>
      </w:r>
      <w:r w:rsidR="003C3873">
        <w:rPr>
          <w:rFonts w:eastAsia="Times New Roman"/>
        </w:rPr>
        <w:t>c</w:t>
      </w:r>
      <w:r w:rsidRPr="003626AC">
        <w:rPr>
          <w:rFonts w:eastAsia="Times New Roman"/>
        </w:rPr>
        <w:t>ión de las subvenciones Art. 63. No básico.</w:t>
      </w:r>
    </w:p>
    <w:p w14:paraId="151E2585"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permite la tramitación anticipada de las subvenciones. Artículo 64. (No básico)</w:t>
      </w:r>
    </w:p>
    <w:p w14:paraId="40920EBF"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Especialidades en materia de evaluación ambiental. Artículo 66. (No básico)</w:t>
      </w:r>
    </w:p>
    <w:p w14:paraId="3E4C8E67"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Se dota de mayor agilidad y seguridad jurídica a los procedimientos de evaluación ambiental, reduciendo los plazos aplicables a los trámites del órgano sustantivo.</w:t>
      </w:r>
    </w:p>
    <w:p w14:paraId="19FFD72B"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Instrumentos de colaboración público-privada (Artículos 67,68 y 69)</w:t>
      </w:r>
    </w:p>
    <w:p w14:paraId="06EE469F" w14:textId="77777777" w:rsidR="00D117D7" w:rsidRPr="003626AC" w:rsidRDefault="00D117D7" w:rsidP="00D117D7">
      <w:pPr>
        <w:pStyle w:val="Prrafodelista"/>
        <w:numPr>
          <w:ilvl w:val="0"/>
          <w:numId w:val="2"/>
        </w:numPr>
        <w:spacing w:after="240"/>
        <w:jc w:val="both"/>
        <w:rPr>
          <w:rFonts w:eastAsia="Times New Roman"/>
        </w:rPr>
      </w:pPr>
      <w:r w:rsidRPr="003626AC">
        <w:rPr>
          <w:rFonts w:eastAsia="Times New Roman"/>
        </w:rPr>
        <w:t xml:space="preserve">Se regulan como otros instrumentos de colaboración público-privada (además de las sociedades de economía mixta que hemos visto con anterioridad al tratar de la contratación), </w:t>
      </w:r>
      <w:r w:rsidRPr="003626AC">
        <w:rPr>
          <w:rFonts w:eastAsia="Times New Roman"/>
          <w:u w:val="single"/>
        </w:rPr>
        <w:t>las Agrupaciones para la presentación de solicitudes a convocatorias de ayudas para actividades vinculadas con el Plan (Art. 67),</w:t>
      </w:r>
      <w:r w:rsidRPr="003626AC">
        <w:rPr>
          <w:rFonts w:eastAsia="Times New Roman"/>
        </w:rPr>
        <w:t xml:space="preserve"> respecto de las que se establece que:</w:t>
      </w:r>
    </w:p>
    <w:p w14:paraId="7E17E580" w14:textId="77777777" w:rsidR="00D117D7" w:rsidRPr="003626AC" w:rsidRDefault="00D117D7" w:rsidP="00D117D7">
      <w:pPr>
        <w:pStyle w:val="Prrafodelista"/>
        <w:numPr>
          <w:ilvl w:val="0"/>
          <w:numId w:val="3"/>
        </w:numPr>
        <w:spacing w:after="240"/>
        <w:ind w:left="810"/>
        <w:jc w:val="both"/>
        <w:rPr>
          <w:rFonts w:eastAsia="Times New Roman"/>
        </w:rPr>
      </w:pPr>
      <w:r w:rsidRPr="003626AC">
        <w:rPr>
          <w:rFonts w:eastAsia="Times New Roman"/>
        </w:rPr>
        <w:t xml:space="preserve">Las bases reguladoras de las subvenciones </w:t>
      </w:r>
      <w:r w:rsidRPr="003626AC">
        <w:rPr>
          <w:rFonts w:eastAsia="Times New Roman"/>
          <w:u w:val="single"/>
        </w:rPr>
        <w:t>podrán establecer que puedan ser beneficiarias las agrupaciones</w:t>
      </w:r>
      <w:r w:rsidRPr="003626AC">
        <w:rPr>
          <w:rFonts w:eastAsia="Times New Roman"/>
        </w:rPr>
        <w:t xml:space="preserve"> de personas físicas o jurídicas, públicas o privadas, sin personalidad jurídica.</w:t>
      </w:r>
    </w:p>
    <w:p w14:paraId="75CC51FD" w14:textId="77777777" w:rsidR="00D117D7" w:rsidRPr="003626AC" w:rsidRDefault="00D117D7" w:rsidP="00D117D7">
      <w:pPr>
        <w:pStyle w:val="Prrafodelista"/>
        <w:numPr>
          <w:ilvl w:val="0"/>
          <w:numId w:val="3"/>
        </w:numPr>
        <w:spacing w:after="240"/>
        <w:ind w:left="810"/>
        <w:jc w:val="both"/>
        <w:rPr>
          <w:rFonts w:eastAsia="Times New Roman"/>
        </w:rPr>
      </w:pPr>
      <w:r w:rsidRPr="003626AC">
        <w:rPr>
          <w:rFonts w:eastAsia="Times New Roman"/>
        </w:rPr>
        <w:lastRenderedPageBreak/>
        <w:t xml:space="preserve">Los miembros de la agrupación deberán suscribir, con carácter previo a la formulación de la solicitud, </w:t>
      </w:r>
      <w:r w:rsidRPr="003626AC">
        <w:rPr>
          <w:rFonts w:eastAsia="Times New Roman"/>
          <w:u w:val="single"/>
        </w:rPr>
        <w:t>un acuerdo interno</w:t>
      </w:r>
      <w:r w:rsidRPr="003626AC">
        <w:rPr>
          <w:rFonts w:eastAsia="Times New Roman"/>
        </w:rPr>
        <w:t xml:space="preserve"> que regule su funcionamiento, que habrá de incluir (i) compromisos de ejecución de actividades de cada miembro, (ii) presupuesto, (iii) representante único, (iv) organización interna, (v) previsión mínima </w:t>
      </w:r>
      <w:r w:rsidRPr="003626AC">
        <w:rPr>
          <w:rFonts w:eastAsia="Times New Roman"/>
          <w:iCs/>
        </w:rPr>
        <w:t>de</w:t>
      </w:r>
      <w:r w:rsidRPr="003626AC">
        <w:rPr>
          <w:rFonts w:eastAsia="Times New Roman"/>
          <w:iCs/>
          <w:spacing w:val="45"/>
        </w:rPr>
        <w:t xml:space="preserve"> </w:t>
      </w:r>
      <w:r w:rsidRPr="003626AC">
        <w:rPr>
          <w:rFonts w:eastAsia="Times New Roman"/>
          <w:iCs/>
        </w:rPr>
        <w:t>cesión</w:t>
      </w:r>
      <w:r w:rsidRPr="003626AC">
        <w:rPr>
          <w:rFonts w:eastAsia="Times New Roman"/>
          <w:iCs/>
          <w:spacing w:val="46"/>
        </w:rPr>
        <w:t xml:space="preserve"> </w:t>
      </w:r>
      <w:r w:rsidRPr="003626AC">
        <w:rPr>
          <w:rFonts w:eastAsia="Times New Roman"/>
          <w:iCs/>
        </w:rPr>
        <w:t>de</w:t>
      </w:r>
      <w:r w:rsidRPr="003626AC">
        <w:rPr>
          <w:rFonts w:eastAsia="Times New Roman"/>
          <w:iCs/>
          <w:spacing w:val="42"/>
        </w:rPr>
        <w:t xml:space="preserve"> </w:t>
      </w:r>
      <w:r w:rsidRPr="003626AC">
        <w:rPr>
          <w:rFonts w:eastAsia="Times New Roman"/>
          <w:iCs/>
        </w:rPr>
        <w:t>derechos</w:t>
      </w:r>
      <w:r w:rsidRPr="003626AC">
        <w:rPr>
          <w:rFonts w:eastAsia="Times New Roman"/>
          <w:iCs/>
          <w:spacing w:val="40"/>
        </w:rPr>
        <w:t xml:space="preserve"> </w:t>
      </w:r>
      <w:r w:rsidRPr="003626AC">
        <w:rPr>
          <w:rFonts w:eastAsia="Times New Roman"/>
          <w:iCs/>
        </w:rPr>
        <w:t>de</w:t>
      </w:r>
      <w:r w:rsidRPr="003626AC">
        <w:rPr>
          <w:rFonts w:eastAsia="Times New Roman"/>
          <w:iCs/>
          <w:spacing w:val="38"/>
        </w:rPr>
        <w:t xml:space="preserve"> </w:t>
      </w:r>
      <w:r w:rsidRPr="003626AC">
        <w:rPr>
          <w:rFonts w:eastAsia="Times New Roman"/>
          <w:iCs/>
        </w:rPr>
        <w:t>uso</w:t>
      </w:r>
      <w:r w:rsidRPr="003626AC">
        <w:rPr>
          <w:rFonts w:eastAsia="Times New Roman"/>
          <w:iCs/>
          <w:spacing w:val="16"/>
        </w:rPr>
        <w:t xml:space="preserve"> </w:t>
      </w:r>
      <w:r w:rsidRPr="003626AC">
        <w:rPr>
          <w:rFonts w:eastAsia="Times New Roman"/>
          <w:iCs/>
        </w:rPr>
        <w:t>no</w:t>
      </w:r>
      <w:r w:rsidRPr="003626AC">
        <w:rPr>
          <w:rFonts w:eastAsia="Times New Roman"/>
          <w:iCs/>
          <w:spacing w:val="16"/>
        </w:rPr>
        <w:t xml:space="preserve"> </w:t>
      </w:r>
      <w:r w:rsidRPr="003626AC">
        <w:rPr>
          <w:rFonts w:eastAsia="Times New Roman"/>
          <w:iCs/>
          <w:spacing w:val="-1"/>
        </w:rPr>
        <w:t>e</w:t>
      </w:r>
      <w:r w:rsidRPr="003626AC">
        <w:rPr>
          <w:rFonts w:eastAsia="Times New Roman"/>
          <w:iCs/>
          <w:spacing w:val="-2"/>
        </w:rPr>
        <w:t>x</w:t>
      </w:r>
      <w:r w:rsidRPr="003626AC">
        <w:rPr>
          <w:rFonts w:eastAsia="Times New Roman"/>
          <w:iCs/>
          <w:spacing w:val="-1"/>
        </w:rPr>
        <w:t>c</w:t>
      </w:r>
      <w:r w:rsidRPr="003626AC">
        <w:rPr>
          <w:rFonts w:eastAsia="Times New Roman"/>
          <w:iCs/>
          <w:spacing w:val="-2"/>
        </w:rPr>
        <w:t>l</w:t>
      </w:r>
      <w:r w:rsidRPr="003626AC">
        <w:rPr>
          <w:rFonts w:eastAsia="Times New Roman"/>
          <w:iCs/>
          <w:spacing w:val="-1"/>
        </w:rPr>
        <w:t>us</w:t>
      </w:r>
      <w:r w:rsidRPr="003626AC">
        <w:rPr>
          <w:rFonts w:eastAsia="Times New Roman"/>
          <w:iCs/>
          <w:spacing w:val="-2"/>
        </w:rPr>
        <w:t>iv</w:t>
      </w:r>
      <w:r w:rsidRPr="003626AC">
        <w:rPr>
          <w:rFonts w:eastAsia="Times New Roman"/>
          <w:iCs/>
          <w:spacing w:val="-1"/>
        </w:rPr>
        <w:t>o</w:t>
      </w:r>
      <w:r w:rsidRPr="003626AC">
        <w:rPr>
          <w:rFonts w:eastAsia="Times New Roman"/>
          <w:iCs/>
          <w:spacing w:val="15"/>
        </w:rPr>
        <w:t xml:space="preserve"> </w:t>
      </w:r>
      <w:r w:rsidRPr="003626AC">
        <w:rPr>
          <w:rFonts w:eastAsia="Times New Roman"/>
          <w:iCs/>
        </w:rPr>
        <w:t>en</w:t>
      </w:r>
      <w:r w:rsidRPr="003626AC">
        <w:rPr>
          <w:rFonts w:eastAsia="Times New Roman"/>
          <w:iCs/>
          <w:spacing w:val="17"/>
        </w:rPr>
        <w:t xml:space="preserve"> </w:t>
      </w:r>
      <w:r w:rsidRPr="003626AC">
        <w:rPr>
          <w:rFonts w:eastAsia="Times New Roman"/>
          <w:iCs/>
        </w:rPr>
        <w:t>beneficio</w:t>
      </w:r>
      <w:r w:rsidRPr="003626AC">
        <w:rPr>
          <w:rFonts w:eastAsia="Times New Roman"/>
          <w:iCs/>
          <w:spacing w:val="13"/>
        </w:rPr>
        <w:t xml:space="preserve"> </w:t>
      </w:r>
      <w:r w:rsidRPr="003626AC">
        <w:rPr>
          <w:rFonts w:eastAsia="Times New Roman"/>
          <w:iCs/>
        </w:rPr>
        <w:t>de</w:t>
      </w:r>
      <w:r w:rsidRPr="003626AC">
        <w:rPr>
          <w:rFonts w:eastAsia="Times New Roman"/>
          <w:iCs/>
          <w:spacing w:val="17"/>
        </w:rPr>
        <w:t xml:space="preserve"> </w:t>
      </w:r>
      <w:r w:rsidRPr="003626AC">
        <w:rPr>
          <w:rFonts w:eastAsia="Times New Roman"/>
          <w:iCs/>
        </w:rPr>
        <w:t>la</w:t>
      </w:r>
      <w:r w:rsidRPr="003626AC">
        <w:rPr>
          <w:rFonts w:eastAsia="Times New Roman"/>
          <w:iCs/>
          <w:spacing w:val="12"/>
        </w:rPr>
        <w:t xml:space="preserve"> </w:t>
      </w:r>
      <w:r w:rsidRPr="003626AC">
        <w:rPr>
          <w:rFonts w:eastAsia="Times New Roman"/>
          <w:iCs/>
        </w:rPr>
        <w:t>administración</w:t>
      </w:r>
      <w:r w:rsidRPr="003626AC">
        <w:rPr>
          <w:rFonts w:eastAsia="Times New Roman"/>
          <w:iCs/>
          <w:spacing w:val="14"/>
        </w:rPr>
        <w:t xml:space="preserve"> </w:t>
      </w:r>
      <w:r w:rsidRPr="003626AC">
        <w:rPr>
          <w:rFonts w:eastAsia="Times New Roman"/>
          <w:iCs/>
        </w:rPr>
        <w:t>pública</w:t>
      </w:r>
      <w:r w:rsidRPr="003626AC">
        <w:rPr>
          <w:rFonts w:eastAsia="Times New Roman"/>
          <w:iCs/>
          <w:spacing w:val="11"/>
        </w:rPr>
        <w:t xml:space="preserve"> </w:t>
      </w:r>
      <w:r w:rsidRPr="003626AC">
        <w:rPr>
          <w:rFonts w:eastAsia="Times New Roman"/>
          <w:iCs/>
        </w:rPr>
        <w:t>española,</w:t>
      </w:r>
      <w:r w:rsidRPr="003626AC">
        <w:rPr>
          <w:rFonts w:eastAsia="Times New Roman"/>
          <w:iCs/>
          <w:spacing w:val="13"/>
        </w:rPr>
        <w:t xml:space="preserve"> </w:t>
      </w:r>
      <w:r w:rsidRPr="003626AC">
        <w:rPr>
          <w:rFonts w:eastAsia="Times New Roman"/>
          <w:iCs/>
          <w:spacing w:val="1"/>
        </w:rPr>
        <w:t>por</w:t>
      </w:r>
      <w:r w:rsidRPr="003626AC">
        <w:rPr>
          <w:rFonts w:eastAsia="Times New Roman"/>
          <w:iCs/>
          <w:spacing w:val="9"/>
        </w:rPr>
        <w:t xml:space="preserve"> </w:t>
      </w:r>
      <w:r w:rsidRPr="003626AC">
        <w:rPr>
          <w:rFonts w:eastAsia="Times New Roman"/>
          <w:iCs/>
          <w:spacing w:val="1"/>
        </w:rPr>
        <w:t>un</w:t>
      </w:r>
      <w:r w:rsidRPr="003626AC">
        <w:rPr>
          <w:rFonts w:eastAsia="Times New Roman"/>
          <w:iCs/>
        </w:rPr>
        <w:t>a</w:t>
      </w:r>
      <w:r w:rsidRPr="003626AC">
        <w:rPr>
          <w:rFonts w:eastAsia="Times New Roman"/>
          <w:iCs/>
          <w:spacing w:val="32"/>
        </w:rPr>
        <w:t xml:space="preserve"> </w:t>
      </w:r>
      <w:r w:rsidRPr="003626AC">
        <w:rPr>
          <w:rFonts w:eastAsia="Times New Roman"/>
          <w:iCs/>
        </w:rPr>
        <w:t>duración</w:t>
      </w:r>
      <w:r w:rsidRPr="003626AC">
        <w:rPr>
          <w:rFonts w:eastAsia="Times New Roman"/>
          <w:iCs/>
          <w:spacing w:val="53"/>
        </w:rPr>
        <w:t xml:space="preserve"> </w:t>
      </w:r>
      <w:r w:rsidRPr="003626AC">
        <w:rPr>
          <w:rFonts w:eastAsia="Times New Roman"/>
          <w:iCs/>
        </w:rPr>
        <w:t>acorde</w:t>
      </w:r>
      <w:r w:rsidRPr="003626AC">
        <w:rPr>
          <w:rFonts w:eastAsia="Times New Roman"/>
          <w:iCs/>
          <w:spacing w:val="54"/>
        </w:rPr>
        <w:t xml:space="preserve"> </w:t>
      </w:r>
      <w:r w:rsidRPr="003626AC">
        <w:rPr>
          <w:rFonts w:eastAsia="Times New Roman"/>
          <w:iCs/>
        </w:rPr>
        <w:t>con</w:t>
      </w:r>
      <w:r w:rsidRPr="003626AC">
        <w:rPr>
          <w:rFonts w:eastAsia="Times New Roman"/>
          <w:iCs/>
          <w:spacing w:val="51"/>
        </w:rPr>
        <w:t xml:space="preserve"> </w:t>
      </w:r>
      <w:r w:rsidRPr="003626AC">
        <w:rPr>
          <w:rFonts w:eastAsia="Times New Roman"/>
          <w:iCs/>
        </w:rPr>
        <w:t>la</w:t>
      </w:r>
      <w:r w:rsidRPr="003626AC">
        <w:rPr>
          <w:rFonts w:eastAsia="Times New Roman"/>
          <w:iCs/>
          <w:spacing w:val="48"/>
        </w:rPr>
        <w:t xml:space="preserve"> </w:t>
      </w:r>
      <w:r w:rsidRPr="003626AC">
        <w:rPr>
          <w:rFonts w:eastAsia="Times New Roman"/>
          <w:iCs/>
        </w:rPr>
        <w:t>regulación</w:t>
      </w:r>
      <w:r w:rsidRPr="003626AC">
        <w:rPr>
          <w:rFonts w:eastAsia="Times New Roman"/>
          <w:iCs/>
          <w:spacing w:val="51"/>
        </w:rPr>
        <w:t xml:space="preserve"> </w:t>
      </w:r>
      <w:r w:rsidRPr="003626AC">
        <w:rPr>
          <w:rFonts w:eastAsia="Times New Roman"/>
          <w:iCs/>
        </w:rPr>
        <w:t>de</w:t>
      </w:r>
      <w:r w:rsidRPr="003626AC">
        <w:rPr>
          <w:rFonts w:eastAsia="Times New Roman"/>
          <w:iCs/>
          <w:spacing w:val="48"/>
        </w:rPr>
        <w:t xml:space="preserve"> </w:t>
      </w:r>
      <w:r w:rsidRPr="003626AC">
        <w:rPr>
          <w:rFonts w:eastAsia="Times New Roman"/>
          <w:iCs/>
        </w:rPr>
        <w:t>la</w:t>
      </w:r>
      <w:r w:rsidRPr="003626AC">
        <w:rPr>
          <w:rFonts w:eastAsia="Times New Roman"/>
          <w:iCs/>
          <w:spacing w:val="51"/>
        </w:rPr>
        <w:t xml:space="preserve"> </w:t>
      </w:r>
      <w:r w:rsidRPr="003626AC">
        <w:rPr>
          <w:rFonts w:eastAsia="Times New Roman"/>
          <w:iCs/>
        </w:rPr>
        <w:t>propiedad</w:t>
      </w:r>
      <w:r w:rsidRPr="003626AC">
        <w:rPr>
          <w:rFonts w:eastAsia="Times New Roman"/>
          <w:iCs/>
          <w:spacing w:val="48"/>
        </w:rPr>
        <w:t xml:space="preserve"> </w:t>
      </w:r>
      <w:r w:rsidRPr="003626AC">
        <w:rPr>
          <w:rFonts w:eastAsia="Times New Roman"/>
          <w:iCs/>
        </w:rPr>
        <w:t>intelectual</w:t>
      </w:r>
      <w:r w:rsidRPr="003626AC">
        <w:rPr>
          <w:rFonts w:eastAsia="Times New Roman"/>
          <w:iCs/>
          <w:spacing w:val="46"/>
        </w:rPr>
        <w:t xml:space="preserve"> </w:t>
      </w:r>
      <w:r w:rsidRPr="003626AC">
        <w:rPr>
          <w:rFonts w:eastAsia="Times New Roman"/>
          <w:iCs/>
        </w:rPr>
        <w:t>o</w:t>
      </w:r>
      <w:r w:rsidRPr="003626AC">
        <w:rPr>
          <w:rFonts w:eastAsia="Times New Roman"/>
          <w:iCs/>
          <w:spacing w:val="51"/>
        </w:rPr>
        <w:t xml:space="preserve"> </w:t>
      </w:r>
      <w:r w:rsidRPr="003626AC">
        <w:rPr>
          <w:rFonts w:eastAsia="Times New Roman"/>
          <w:iCs/>
        </w:rPr>
        <w:t>industrial,</w:t>
      </w:r>
      <w:r w:rsidRPr="003626AC">
        <w:rPr>
          <w:rFonts w:eastAsia="Times New Roman"/>
          <w:iCs/>
          <w:spacing w:val="24"/>
        </w:rPr>
        <w:t xml:space="preserve"> </w:t>
      </w:r>
      <w:r w:rsidRPr="003626AC">
        <w:rPr>
          <w:rFonts w:eastAsia="Times New Roman"/>
          <w:iCs/>
          <w:spacing w:val="-1"/>
        </w:rPr>
        <w:t>según</w:t>
      </w:r>
      <w:r w:rsidRPr="003626AC">
        <w:rPr>
          <w:rFonts w:eastAsia="Times New Roman"/>
          <w:iCs/>
          <w:spacing w:val="38"/>
        </w:rPr>
        <w:t xml:space="preserve"> </w:t>
      </w:r>
      <w:r w:rsidRPr="003626AC">
        <w:rPr>
          <w:rFonts w:eastAsia="Times New Roman"/>
          <w:iCs/>
        </w:rPr>
        <w:t>el</w:t>
      </w:r>
      <w:r w:rsidRPr="003626AC">
        <w:rPr>
          <w:rFonts w:eastAsia="Times New Roman"/>
          <w:iCs/>
          <w:spacing w:val="33"/>
        </w:rPr>
        <w:t xml:space="preserve"> </w:t>
      </w:r>
      <w:r w:rsidRPr="003626AC">
        <w:rPr>
          <w:rFonts w:eastAsia="Times New Roman"/>
          <w:iCs/>
        </w:rPr>
        <w:t>caso</w:t>
      </w:r>
      <w:r w:rsidRPr="003626AC">
        <w:rPr>
          <w:rFonts w:eastAsia="Times New Roman"/>
        </w:rPr>
        <w:t>, etc.</w:t>
      </w:r>
    </w:p>
    <w:p w14:paraId="3A7245BB" w14:textId="77777777" w:rsidR="00D117D7" w:rsidRPr="003626AC" w:rsidRDefault="00D117D7" w:rsidP="00D117D7">
      <w:pPr>
        <w:pStyle w:val="Prrafodelista"/>
        <w:numPr>
          <w:ilvl w:val="0"/>
          <w:numId w:val="3"/>
        </w:numPr>
        <w:spacing w:after="240"/>
        <w:ind w:left="810"/>
        <w:jc w:val="both"/>
        <w:rPr>
          <w:rFonts w:eastAsia="Times New Roman"/>
        </w:rPr>
      </w:pPr>
      <w:r w:rsidRPr="003626AC">
        <w:rPr>
          <w:rFonts w:eastAsia="Times New Roman"/>
        </w:rPr>
        <w:t xml:space="preserve">Los miembros de la agrupación tendrán </w:t>
      </w:r>
      <w:r w:rsidRPr="003626AC">
        <w:rPr>
          <w:rFonts w:eastAsia="Times New Roman"/>
          <w:u w:val="single"/>
        </w:rPr>
        <w:t>responsabilidad solidaria</w:t>
      </w:r>
      <w:r w:rsidRPr="003626AC">
        <w:rPr>
          <w:rFonts w:eastAsia="Times New Roman"/>
        </w:rPr>
        <w:t xml:space="preserve"> respecto del conjunto de actividades subvencionadas a desarrollar.</w:t>
      </w:r>
    </w:p>
    <w:p w14:paraId="4CE9E349" w14:textId="77777777" w:rsidR="00D117D7" w:rsidRPr="003626AC" w:rsidRDefault="00D117D7" w:rsidP="00D117D7">
      <w:pPr>
        <w:pStyle w:val="Prrafodelista"/>
        <w:numPr>
          <w:ilvl w:val="0"/>
          <w:numId w:val="3"/>
        </w:numPr>
        <w:spacing w:after="240"/>
        <w:ind w:left="810"/>
        <w:jc w:val="both"/>
        <w:rPr>
          <w:rFonts w:eastAsia="Times New Roman"/>
        </w:rPr>
      </w:pPr>
      <w:r w:rsidRPr="003626AC">
        <w:rPr>
          <w:rFonts w:eastAsia="Times New Roman"/>
        </w:rPr>
        <w:t>No podrá disolverse la agrupación hasta transcurrido el plazo de prescripción o, en su hasta la amortización total del préstamo.</w:t>
      </w:r>
    </w:p>
    <w:p w14:paraId="43C144E1" w14:textId="77777777" w:rsidR="00D117D7" w:rsidRPr="003626AC" w:rsidRDefault="00D117D7" w:rsidP="00D117D7">
      <w:pPr>
        <w:pStyle w:val="Prrafodelista"/>
        <w:numPr>
          <w:ilvl w:val="0"/>
          <w:numId w:val="3"/>
        </w:numPr>
        <w:spacing w:after="240"/>
        <w:ind w:left="810"/>
        <w:jc w:val="both"/>
        <w:rPr>
          <w:rFonts w:eastAsia="Times New Roman"/>
        </w:rPr>
      </w:pPr>
      <w:r w:rsidRPr="003626AC">
        <w:rPr>
          <w:rFonts w:eastAsia="Times New Roman"/>
        </w:rPr>
        <w:t>Podrán sustituirse o variarse sus miembros siempre que ello se ajuste a las condiciones de participación.</w:t>
      </w:r>
    </w:p>
    <w:p w14:paraId="687C5203" w14:textId="77777777" w:rsidR="00D117D7" w:rsidRPr="003626AC" w:rsidRDefault="00D117D7" w:rsidP="00D117D7">
      <w:pPr>
        <w:pStyle w:val="Prrafodelista"/>
        <w:numPr>
          <w:ilvl w:val="0"/>
          <w:numId w:val="2"/>
        </w:numPr>
        <w:spacing w:after="240"/>
        <w:ind w:left="714" w:hanging="357"/>
        <w:jc w:val="both"/>
      </w:pPr>
      <w:r w:rsidRPr="003626AC">
        <w:rPr>
          <w:u w:val="single"/>
        </w:rPr>
        <w:t>Régimen especial de consorcios</w:t>
      </w:r>
      <w:r w:rsidRPr="003626AC">
        <w:t xml:space="preserve"> (públicos) para su ejecución (Art. 68), respecto de los que se prevé que:</w:t>
      </w:r>
    </w:p>
    <w:p w14:paraId="04633AF9" w14:textId="77777777" w:rsidR="00D117D7" w:rsidRPr="003626AC" w:rsidRDefault="00D117D7" w:rsidP="00D117D7">
      <w:pPr>
        <w:pStyle w:val="Prrafodelista"/>
        <w:numPr>
          <w:ilvl w:val="0"/>
          <w:numId w:val="3"/>
        </w:numPr>
        <w:spacing w:after="240"/>
        <w:jc w:val="both"/>
        <w:rPr>
          <w:rFonts w:eastAsia="Times New Roman"/>
        </w:rPr>
      </w:pPr>
      <w:r w:rsidRPr="003626AC">
        <w:rPr>
          <w:rFonts w:eastAsia="Times New Roman"/>
        </w:rPr>
        <w:t>Su creación podrá ser autorizada por la Comisión del Plan previo informe del Comité Técnico. No se requerirá la autorización legal adicional exigida actualmente. (No básico)</w:t>
      </w:r>
    </w:p>
    <w:p w14:paraId="6DDA1BED" w14:textId="77777777" w:rsidR="00D117D7" w:rsidRPr="003626AC" w:rsidRDefault="00D117D7" w:rsidP="00D117D7">
      <w:pPr>
        <w:pStyle w:val="Prrafodelista"/>
        <w:numPr>
          <w:ilvl w:val="0"/>
          <w:numId w:val="3"/>
        </w:numPr>
        <w:spacing w:after="240"/>
        <w:jc w:val="both"/>
        <w:rPr>
          <w:rFonts w:eastAsia="Times New Roman"/>
        </w:rPr>
      </w:pPr>
      <w:r w:rsidRPr="003626AC">
        <w:rPr>
          <w:rFonts w:eastAsia="Times New Roman"/>
        </w:rPr>
        <w:t>En lo no previsto, será de aplicación la Ley de Régimen Jurídico del Sector Público.</w:t>
      </w:r>
    </w:p>
    <w:p w14:paraId="636E3926" w14:textId="77777777" w:rsidR="00D117D7" w:rsidRPr="003626AC" w:rsidRDefault="00D117D7" w:rsidP="00D117D7">
      <w:pPr>
        <w:pStyle w:val="Prrafodelista"/>
        <w:numPr>
          <w:ilvl w:val="0"/>
          <w:numId w:val="3"/>
        </w:numPr>
        <w:spacing w:after="240"/>
        <w:jc w:val="both"/>
        <w:rPr>
          <w:rFonts w:eastAsia="Times New Roman"/>
          <w:strike/>
        </w:rPr>
      </w:pPr>
      <w:r w:rsidRPr="003626AC">
        <w:rPr>
          <w:rFonts w:eastAsia="Times New Roman"/>
        </w:rPr>
        <w:t>El personal a su servicio podrá ser funcionario o laboral y habrá de proceder de las Administraciones Públicas participantes. No obstante, cuando ese personal no sea suficiente, se podrá contratar personal laboral mediante convocatoria pública.</w:t>
      </w:r>
    </w:p>
    <w:p w14:paraId="16934FEF" w14:textId="77777777" w:rsidR="00D117D7" w:rsidRPr="003626AC" w:rsidRDefault="00D117D7" w:rsidP="00D117D7">
      <w:pPr>
        <w:pStyle w:val="Prrafodelista"/>
        <w:numPr>
          <w:ilvl w:val="0"/>
          <w:numId w:val="1"/>
        </w:numPr>
        <w:spacing w:after="240"/>
        <w:jc w:val="both"/>
        <w:rPr>
          <w:rFonts w:eastAsia="Times New Roman"/>
          <w:u w:val="single"/>
        </w:rPr>
      </w:pPr>
      <w:r w:rsidRPr="003626AC">
        <w:rPr>
          <w:rFonts w:eastAsia="Times New Roman"/>
        </w:rPr>
        <w:t xml:space="preserve">Se prevé expresamente que </w:t>
      </w:r>
      <w:r w:rsidRPr="003626AC">
        <w:rPr>
          <w:rFonts w:eastAsia="Times New Roman"/>
          <w:u w:val="single"/>
        </w:rPr>
        <w:t>la no obtención de ingresos por absorción de fondos europeos</w:t>
      </w:r>
      <w:r w:rsidRPr="003626AC">
        <w:rPr>
          <w:rFonts w:eastAsia="Times New Roman"/>
        </w:rPr>
        <w:t xml:space="preserve"> conforme a la normativa comunitaria de aplicación con carácter final </w:t>
      </w:r>
      <w:r w:rsidRPr="003626AC">
        <w:rPr>
          <w:rFonts w:eastAsia="Times New Roman"/>
          <w:u w:val="single"/>
        </w:rPr>
        <w:t>no conllevará la nulidad o anulabilidad de las actuaciones administrativas llevadas a cabo.</w:t>
      </w:r>
    </w:p>
    <w:p w14:paraId="2C6E313B"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Una nueva DAd6ª prevé la reserva de 200.000.000€ para asegurar la correcta absorción de la financiación procedente de la UE.</w:t>
      </w:r>
    </w:p>
    <w:p w14:paraId="1A63811F" w14:textId="77777777" w:rsidR="00D117D7" w:rsidRPr="003626AC" w:rsidRDefault="00D117D7" w:rsidP="00D117D7">
      <w:pPr>
        <w:pStyle w:val="Prrafodelista"/>
        <w:numPr>
          <w:ilvl w:val="0"/>
          <w:numId w:val="1"/>
        </w:numPr>
        <w:spacing w:after="240"/>
        <w:jc w:val="both"/>
        <w:rPr>
          <w:rFonts w:eastAsia="Times New Roman"/>
        </w:rPr>
      </w:pPr>
      <w:r w:rsidRPr="003626AC">
        <w:rPr>
          <w:rFonts w:eastAsia="Times New Roman"/>
        </w:rPr>
        <w:t xml:space="preserve">Título competencial (DF 1ª). En el apartado 2 de dicha disposición final se plasman los artículos que no tienen carácter básico y, por tanto, solo </w:t>
      </w:r>
      <w:proofErr w:type="gramStart"/>
      <w:r w:rsidRPr="003626AC">
        <w:rPr>
          <w:rFonts w:eastAsia="Times New Roman"/>
        </w:rPr>
        <w:t>serán de aplicación</w:t>
      </w:r>
      <w:proofErr w:type="gramEnd"/>
      <w:r w:rsidRPr="003626AC">
        <w:rPr>
          <w:rFonts w:eastAsia="Times New Roman"/>
        </w:rPr>
        <w:t xml:space="preserve"> a la Administración General del Estado y al sector público estatal:</w:t>
      </w:r>
    </w:p>
    <w:p w14:paraId="765D502F"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5; Directrices de coordinación</w:t>
      </w:r>
    </w:p>
    <w:p w14:paraId="74DA17AD"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6; Directrices de procesos y procedimientos</w:t>
      </w:r>
    </w:p>
    <w:p w14:paraId="6DCB4ABF"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14; Comisión para la Recuperación, Transformación y Resiliencia</w:t>
      </w:r>
    </w:p>
    <w:p w14:paraId="2AFF67D1"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15; Comité Técnico para el Plan de Recuperación, Transformación y Resiliencia</w:t>
      </w:r>
    </w:p>
    <w:p w14:paraId="233E7C18"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16; Seguimiento del Plan de Recuperación, Transformación y Resiliencia.</w:t>
      </w:r>
    </w:p>
    <w:p w14:paraId="2F2B5CEB"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17; Foros de participación y grupos de alto nivel</w:t>
      </w:r>
    </w:p>
    <w:p w14:paraId="2D985FB1" w14:textId="77777777" w:rsidR="00741B19" w:rsidRPr="003626AC" w:rsidRDefault="00741B19" w:rsidP="00741B19">
      <w:pPr>
        <w:pStyle w:val="Prrafodelista"/>
        <w:spacing w:after="240"/>
        <w:jc w:val="both"/>
        <w:rPr>
          <w:rFonts w:eastAsia="Times New Roman"/>
        </w:rPr>
      </w:pPr>
    </w:p>
    <w:p w14:paraId="499BC53E"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18; Participación social</w:t>
      </w:r>
    </w:p>
    <w:p w14:paraId="77EAC159"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articulo 22; Rendición de cuentas ante las Cortes Generales</w:t>
      </w:r>
    </w:p>
    <w:p w14:paraId="04086DC5"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Capítulo III (Instrumentos de gestión pública) del Título III;</w:t>
      </w:r>
    </w:p>
    <w:p w14:paraId="5267CA8C"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Capítulo I (Especialidades en materia de gestión y control presupuestario) del Título IV, salvo los artículos 37.4, 39 (Tramitación anticipada de los expedientes de gasto), 44 (Ejecución de los créditos que hayan de distribuirse territorialmente a favor de las Comunidades Autónomas) y 46 (Seguimiento de los proyectos financiados a través del PRTR);</w:t>
      </w:r>
    </w:p>
    <w:p w14:paraId="72D24E99"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Capítulo II (Especialidades en la tramitación de los procedimientos) del Título IV;</w:t>
      </w:r>
    </w:p>
    <w:p w14:paraId="091E3973"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48; Tramitación de urgencia de los procedimientos administrativos de ejecución de gastos con cargo a fondos europeos para el Plan de Recuperación, Transformación y Resiliencia.</w:t>
      </w:r>
      <w:r w:rsidRPr="003626AC" w:rsidDel="00153F17">
        <w:rPr>
          <w:rFonts w:eastAsia="Times New Roman"/>
        </w:rPr>
        <w:t xml:space="preserve"> </w:t>
      </w:r>
    </w:p>
    <w:p w14:paraId="678E999C"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apartado 2 del artículo 54; Elaboración de pliegos-tipo de contratación</w:t>
      </w:r>
    </w:p>
    <w:p w14:paraId="64A7F5A6" w14:textId="77777777" w:rsidR="00D117D7" w:rsidRPr="003626AC" w:rsidRDefault="00D117D7" w:rsidP="00D117D7">
      <w:pPr>
        <w:pStyle w:val="Prrafodelista"/>
        <w:numPr>
          <w:ilvl w:val="0"/>
          <w:numId w:val="7"/>
        </w:numPr>
        <w:spacing w:after="240"/>
        <w:jc w:val="both"/>
      </w:pPr>
      <w:r w:rsidRPr="003626AC">
        <w:rPr>
          <w:rFonts w:eastAsia="Times New Roman"/>
        </w:rPr>
        <w:t>el artículo 55; Encargos a medios propios</w:t>
      </w:r>
    </w:p>
    <w:p w14:paraId="1A87C470"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59; Convenios suscritos para la ejecución de proyectos con cargo a fondos europeos.</w:t>
      </w:r>
    </w:p>
    <w:p w14:paraId="6587BC13"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los apartados 2, 3 y 4 del artículo 60; Requisitos para la tramitación de subvenciones financiables con fondos europeos</w:t>
      </w:r>
    </w:p>
    <w:p w14:paraId="2347185E"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los apartados 2 y 3 del artículo 61; Bases reguladoras y convocatorias de las subvenciones financiables con fondos europeos</w:t>
      </w:r>
    </w:p>
    <w:p w14:paraId="797EA476"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apartado 2 del artículo 62; Subvenciones de concurrencia no competitiva financiables con fondos europeos</w:t>
      </w:r>
    </w:p>
    <w:p w14:paraId="0A784CAA"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63; Justificación de la aplicación de las subvenciones</w:t>
      </w:r>
    </w:p>
    <w:p w14:paraId="4421CABB"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64; Tramitación anticipada de las subvenciones</w:t>
      </w:r>
    </w:p>
    <w:p w14:paraId="5F6B51E1"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65; Concesión de incentivos regionales</w:t>
      </w:r>
    </w:p>
    <w:p w14:paraId="33311ECC"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artículo 66; Especialidades en materia de evaluación ambiental en los proyectos del PRTRT</w:t>
      </w:r>
    </w:p>
    <w:p w14:paraId="7E774DD3"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los apartados 1, 2 y 3 del artículo 68; Régimen especial de los consorcios para la ejecución del PRTR</w:t>
      </w:r>
    </w:p>
    <w:p w14:paraId="41F19010"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la disposición adicional segunda; Retribución extraordinaria por consecución de objetivos o por asignación de funciones adicionales a tiempo parcial</w:t>
      </w:r>
    </w:p>
    <w:p w14:paraId="6B308BC1"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lastRenderedPageBreak/>
        <w:t>la disposición adicional quinta; Aplicación de los instrumentos de gestión pública del Capítulo III del Título III de Instrumentos de gestión del Plan de Recuperación, Transformación y Resiliencia, en el ámbito del Ministerio de Defensa</w:t>
      </w:r>
    </w:p>
    <w:p w14:paraId="406E5211"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la disposición transitoria única; Aplicación de las modificaciones de la Ley 21/2013, de 9 de diciembre, de evaluación ambiental</w:t>
      </w:r>
    </w:p>
    <w:p w14:paraId="634F1FD4"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la regulación de los plazos establecidos en la disposición final tercera; Modificación de la Ley 21/2013, de 9 de diciembre, de evaluación ambiental</w:t>
      </w:r>
    </w:p>
    <w:p w14:paraId="6D84F70F"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la disposición final cuarta; Modificación de la Ley 6/2018, de 3 de julio, de Presupuestos Generales del Estado para el año 2018. concesión de préstamos y anticipos financiados directa o indirectamente con cargo al Capítulo 8 de los Presupuestos Generales del Estado</w:t>
      </w:r>
    </w:p>
    <w:p w14:paraId="2106DBA2" w14:textId="77777777" w:rsidR="00D117D7" w:rsidRPr="003626AC" w:rsidRDefault="00D117D7" w:rsidP="00D117D7">
      <w:pPr>
        <w:pStyle w:val="Prrafodelista"/>
        <w:numPr>
          <w:ilvl w:val="0"/>
          <w:numId w:val="7"/>
        </w:numPr>
        <w:spacing w:after="240"/>
        <w:jc w:val="both"/>
        <w:rPr>
          <w:rFonts w:eastAsia="Times New Roman"/>
        </w:rPr>
      </w:pPr>
      <w:r w:rsidRPr="003626AC">
        <w:rPr>
          <w:rFonts w:eastAsia="Times New Roman"/>
        </w:rPr>
        <w:t>el apartado Dos de la disposición final quinta; Modificación Art. 45.1 LCSP, relativo al Tribunal Administrativo Central de Recursos Contractuales</w:t>
      </w:r>
    </w:p>
    <w:p w14:paraId="1F249FF5" w14:textId="77777777" w:rsidR="00D117D7" w:rsidRPr="003626AC" w:rsidRDefault="00D117D7" w:rsidP="00D117D7">
      <w:pPr>
        <w:spacing w:after="240"/>
        <w:jc w:val="both"/>
        <w:rPr>
          <w:rFonts w:eastAsia="Times New Roman"/>
        </w:rPr>
      </w:pPr>
      <w:r w:rsidRPr="003626AC">
        <w:rPr>
          <w:rFonts w:eastAsia="Times New Roman"/>
        </w:rPr>
        <w:t>Se modifican las siguientes normas:</w:t>
      </w:r>
    </w:p>
    <w:p w14:paraId="5B194621" w14:textId="77777777" w:rsidR="00D117D7" w:rsidRPr="003626AC" w:rsidRDefault="00D117D7" w:rsidP="00D117D7">
      <w:pPr>
        <w:pStyle w:val="Prrafodelista"/>
        <w:numPr>
          <w:ilvl w:val="1"/>
          <w:numId w:val="5"/>
        </w:numPr>
        <w:spacing w:after="240"/>
        <w:ind w:left="851" w:hanging="425"/>
        <w:jc w:val="both"/>
        <w:rPr>
          <w:rFonts w:eastAsia="Times New Roman"/>
        </w:rPr>
      </w:pPr>
      <w:r w:rsidRPr="003626AC">
        <w:rPr>
          <w:rFonts w:eastAsia="Times New Roman"/>
        </w:rPr>
        <w:t>Ley 40/</w:t>
      </w:r>
      <w:r w:rsidRPr="003626AC">
        <w:t>2015</w:t>
      </w:r>
      <w:r w:rsidRPr="003626AC">
        <w:rPr>
          <w:rFonts w:eastAsia="Times New Roman"/>
        </w:rPr>
        <w:t>, de 1 de octubre, de Régimen Jurídico del Sector Público en materia de convenios que suscriba la AGE o sus organismos públicos y entidades de derecho público vinculados o dependientes, y también con respecto al régimen de IDAE e ICEX.</w:t>
      </w:r>
    </w:p>
    <w:p w14:paraId="73A44ECE" w14:textId="77777777" w:rsidR="00D117D7" w:rsidRPr="003626AC" w:rsidRDefault="00D117D7" w:rsidP="00D117D7">
      <w:pPr>
        <w:pStyle w:val="Prrafodelista"/>
        <w:numPr>
          <w:ilvl w:val="1"/>
          <w:numId w:val="5"/>
        </w:numPr>
        <w:spacing w:after="240"/>
        <w:ind w:left="851" w:hanging="425"/>
        <w:jc w:val="both"/>
      </w:pPr>
      <w:r w:rsidRPr="003626AC">
        <w:t>La Ley de Contratos del Sector Público, incluyendo previsiones referentes al refuerzo del Tribunal Administrativo Central de Recursos Contractuales y la simplificación del proceso de suscripción de convenios entre entidades públicas.</w:t>
      </w:r>
    </w:p>
    <w:p w14:paraId="0170277B" w14:textId="77777777" w:rsidR="00D117D7" w:rsidRPr="003626AC" w:rsidRDefault="00D117D7" w:rsidP="00D117D7">
      <w:pPr>
        <w:pStyle w:val="Prrafodelista"/>
        <w:numPr>
          <w:ilvl w:val="1"/>
          <w:numId w:val="5"/>
        </w:numPr>
        <w:spacing w:after="240"/>
        <w:ind w:left="851" w:hanging="425"/>
        <w:jc w:val="both"/>
      </w:pPr>
      <w:r w:rsidRPr="003626AC">
        <w:t>La Ley 21/2013, de 9 de diciembre, de evaluación ambiental.</w:t>
      </w:r>
    </w:p>
    <w:p w14:paraId="46A749DD" w14:textId="77777777" w:rsidR="00D117D7" w:rsidRPr="003626AC" w:rsidRDefault="00D117D7" w:rsidP="00D117D7">
      <w:pPr>
        <w:pStyle w:val="Prrafodelista"/>
        <w:numPr>
          <w:ilvl w:val="1"/>
          <w:numId w:val="5"/>
        </w:numPr>
        <w:spacing w:after="240"/>
        <w:ind w:left="851" w:hanging="425"/>
        <w:jc w:val="both"/>
      </w:pPr>
      <w:r w:rsidRPr="003626AC">
        <w:t>La Ley 6/2018, de 3 de julio, de Presupuestos Generales del Estado para el año 2018, relativo a la concesión de préstamos y anticipos financiados con cargo al Capítulo 8 de los Presupuestos Generales del Estado</w:t>
      </w:r>
    </w:p>
    <w:p w14:paraId="1AC97543" w14:textId="77777777" w:rsidR="00D117D7" w:rsidRPr="003626AC" w:rsidRDefault="00D117D7" w:rsidP="00D117D7">
      <w:pPr>
        <w:pStyle w:val="Prrafodelista"/>
        <w:numPr>
          <w:ilvl w:val="1"/>
          <w:numId w:val="5"/>
        </w:numPr>
        <w:spacing w:after="240"/>
        <w:ind w:left="851" w:hanging="425"/>
        <w:jc w:val="both"/>
      </w:pPr>
      <w:r w:rsidRPr="003626AC">
        <w:t xml:space="preserve">La Ley del Patrimonio Natural y de la Biodiversidad, para la </w:t>
      </w:r>
      <w:r w:rsidRPr="003626AC">
        <w:rPr>
          <w:u w:val="single"/>
        </w:rPr>
        <w:t>creación del Fondo de restauración ecológica y resiliencia.</w:t>
      </w:r>
      <w:r w:rsidRPr="003626AC">
        <w:t xml:space="preserve"> Su objeto es el de poner en práctica medidas destinadas a apoyar la consecución de objetivos del Plan y lograr una transición a un modelo productivo y social más ecológico, financiando acciones de naturaleza anual y plurianual. Estará dotado de una partida presupuestaria especificada de los Presupuestos Generales del Estado.</w:t>
      </w:r>
    </w:p>
    <w:p w14:paraId="3DA43F57" w14:textId="77777777" w:rsidR="00D117D7" w:rsidRPr="003626AC" w:rsidRDefault="00D117D7" w:rsidP="00D117D7">
      <w:pPr>
        <w:pStyle w:val="Prrafodelista"/>
        <w:numPr>
          <w:ilvl w:val="1"/>
          <w:numId w:val="5"/>
        </w:numPr>
        <w:spacing w:after="240"/>
        <w:ind w:left="851" w:hanging="425"/>
        <w:jc w:val="both"/>
      </w:pPr>
      <w:r w:rsidRPr="003626AC">
        <w:t>El Texto refundido de la Ley de prevención y control integrados de la contaminación y el Reglamento de emisiones industriales y de desarrollo de la Ley 16/2002, de 1 de julio, de prevención y control integrados de la contaminación, en lo referente a la simplificación de plazos para la emisión de informes preceptivos y el otorgamiento de la autorización ambiental integrada.</w:t>
      </w:r>
    </w:p>
    <w:p w14:paraId="611EC8B1" w14:textId="77777777" w:rsidR="00D117D7" w:rsidRPr="003626AC" w:rsidRDefault="00D117D7" w:rsidP="00D117D7">
      <w:pPr>
        <w:pStyle w:val="Prrafodelista"/>
        <w:numPr>
          <w:ilvl w:val="1"/>
          <w:numId w:val="5"/>
        </w:numPr>
        <w:ind w:left="851"/>
        <w:jc w:val="both"/>
      </w:pPr>
      <w:r w:rsidRPr="003626AC">
        <w:t>La Ley de la Ciencia, la Tecnología y la Innovación, posibilitando una vigencia indefinida de los convenios de creación o financiación de centros, institutos, consorcios o unidades de investigación, e infraestructuras científicas o uso compartido de inmuebles, de instalaciones y de medios materiales para el desarrollo de actividades de investigación científica, desarrollo e innovación.</w:t>
      </w:r>
    </w:p>
    <w:p w14:paraId="75061134" w14:textId="77777777" w:rsidR="00D117D7" w:rsidRPr="003626AC" w:rsidRDefault="00D117D7" w:rsidP="00D117D7">
      <w:pPr>
        <w:pStyle w:val="Prrafodelista"/>
        <w:ind w:left="851"/>
        <w:jc w:val="both"/>
      </w:pPr>
    </w:p>
    <w:p w14:paraId="04CEEF1B" w14:textId="77777777" w:rsidR="00741B19" w:rsidRPr="003626AC" w:rsidRDefault="00741B19" w:rsidP="00D117D7">
      <w:pPr>
        <w:pStyle w:val="Prrafodelista"/>
        <w:spacing w:after="240"/>
        <w:ind w:left="851"/>
        <w:jc w:val="both"/>
      </w:pPr>
    </w:p>
    <w:p w14:paraId="11B791FD" w14:textId="77777777" w:rsidR="00D117D7" w:rsidRPr="003626AC" w:rsidRDefault="00D117D7" w:rsidP="00D117D7">
      <w:pPr>
        <w:pStyle w:val="Prrafodelista"/>
        <w:spacing w:after="240"/>
        <w:ind w:left="851"/>
        <w:jc w:val="both"/>
      </w:pPr>
      <w:r w:rsidRPr="003626AC">
        <w:t>Asimismo, se modifica el régimen de concesión de forma directa de subvenciones y ayudas existente en dicha Ley, eliminado la referencia a que estás deban ser concedidas por la Administración General del Estado.</w:t>
      </w:r>
    </w:p>
    <w:p w14:paraId="4A684CB5" w14:textId="77777777" w:rsidR="00D117D7" w:rsidRPr="003626AC" w:rsidRDefault="00D117D7" w:rsidP="00053974">
      <w:pPr>
        <w:pStyle w:val="Prrafodelista"/>
        <w:numPr>
          <w:ilvl w:val="1"/>
          <w:numId w:val="5"/>
        </w:numPr>
        <w:ind w:left="851" w:hanging="425"/>
        <w:jc w:val="both"/>
      </w:pPr>
      <w:r w:rsidRPr="003626AC">
        <w:rPr>
          <w:spacing w:val="1"/>
        </w:rPr>
        <w:t>La L</w:t>
      </w:r>
      <w:r w:rsidRPr="003626AC">
        <w:t>e</w:t>
      </w:r>
      <w:r w:rsidRPr="003626AC">
        <w:rPr>
          <w:spacing w:val="1"/>
        </w:rPr>
        <w:t>y</w:t>
      </w:r>
      <w:r w:rsidRPr="003626AC">
        <w:rPr>
          <w:spacing w:val="17"/>
        </w:rPr>
        <w:t xml:space="preserve"> </w:t>
      </w:r>
      <w:r w:rsidRPr="003626AC">
        <w:t>de</w:t>
      </w:r>
      <w:r w:rsidRPr="003626AC">
        <w:rPr>
          <w:spacing w:val="30"/>
        </w:rPr>
        <w:t xml:space="preserve"> </w:t>
      </w:r>
      <w:r w:rsidRPr="003626AC">
        <w:rPr>
          <w:spacing w:val="-1"/>
        </w:rPr>
        <w:t>Econo</w:t>
      </w:r>
      <w:r w:rsidRPr="003626AC">
        <w:rPr>
          <w:spacing w:val="-2"/>
        </w:rPr>
        <w:t>mí</w:t>
      </w:r>
      <w:r w:rsidRPr="003626AC">
        <w:rPr>
          <w:spacing w:val="-1"/>
        </w:rPr>
        <w:t>a</w:t>
      </w:r>
      <w:r w:rsidRPr="003626AC">
        <w:rPr>
          <w:spacing w:val="28"/>
        </w:rPr>
        <w:t xml:space="preserve"> </w:t>
      </w:r>
      <w:r w:rsidRPr="003626AC">
        <w:t>Sostenible, para añadir a los objetivos del Fondo de Carbono “</w:t>
      </w:r>
      <w:r w:rsidRPr="003626AC">
        <w:rPr>
          <w:i/>
          <w:iCs/>
        </w:rPr>
        <w:t>la innovación en sectores clave de la economía, mediante actuaciones de ámbito nacional</w:t>
      </w:r>
      <w:r w:rsidRPr="003626AC">
        <w:t>”. Así, se amplían sus funciones más allá de la adquisición de créditos de carbono, incluyendo, entre otras, el desarrollo de actuaciones adicionales en la lucha contra el cambio climático, reducción de emisiones de gases de efecto invernadero y apoyo de proyectos tecnológicos para la descarbonización del sector eléctrico o de la industria.</w:t>
      </w:r>
    </w:p>
    <w:p w14:paraId="1E53A5A1" w14:textId="77777777" w:rsidR="00741B19" w:rsidRPr="003626AC" w:rsidRDefault="00741B19" w:rsidP="00D117D7">
      <w:pPr>
        <w:spacing w:after="240"/>
        <w:jc w:val="center"/>
      </w:pPr>
    </w:p>
    <w:p w14:paraId="0A05DE38" w14:textId="77777777" w:rsidR="00741B19" w:rsidRPr="003626AC" w:rsidRDefault="00741B19" w:rsidP="00D117D7">
      <w:pPr>
        <w:spacing w:after="240"/>
        <w:jc w:val="center"/>
      </w:pPr>
    </w:p>
    <w:p w14:paraId="1E2ABDD2" w14:textId="77777777" w:rsidR="00D117D7" w:rsidRPr="003626AC" w:rsidRDefault="00D117D7" w:rsidP="00D117D7">
      <w:pPr>
        <w:spacing w:after="240"/>
        <w:jc w:val="center"/>
      </w:pPr>
      <w:r w:rsidRPr="003626AC">
        <w:t>***</w:t>
      </w:r>
    </w:p>
    <w:p w14:paraId="68C0F2F5" w14:textId="2A54229F" w:rsidR="00D117D7" w:rsidRPr="003626AC" w:rsidRDefault="009F3C8A" w:rsidP="009F3C8A">
      <w:pPr>
        <w:pStyle w:val="Encabezado"/>
        <w:tabs>
          <w:tab w:val="clear" w:pos="4252"/>
          <w:tab w:val="clear" w:pos="8504"/>
        </w:tabs>
        <w:spacing w:after="160" w:line="259" w:lineRule="auto"/>
        <w:jc w:val="right"/>
      </w:pPr>
      <w:r>
        <w:t>13 de enero de 2021</w:t>
      </w:r>
    </w:p>
    <w:sectPr w:rsidR="00D117D7" w:rsidRPr="003626AC" w:rsidSect="00B41F8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AEB6" w14:textId="77777777" w:rsidR="00D51A5E" w:rsidRDefault="00D51A5E" w:rsidP="00750FE7">
      <w:r>
        <w:separator/>
      </w:r>
    </w:p>
  </w:endnote>
  <w:endnote w:type="continuationSeparator" w:id="0">
    <w:p w14:paraId="5DCBFCB4" w14:textId="77777777" w:rsidR="00D51A5E" w:rsidRDefault="00D51A5E" w:rsidP="0075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91E2" w14:textId="77777777" w:rsidR="00D117D7" w:rsidRPr="00D117D7" w:rsidRDefault="00D117D7">
    <w:pPr>
      <w:tabs>
        <w:tab w:val="center" w:pos="4550"/>
        <w:tab w:val="left" w:pos="5818"/>
      </w:tabs>
      <w:ind w:right="260"/>
      <w:jc w:val="right"/>
      <w:rPr>
        <w:i/>
        <w:iCs/>
        <w:color w:val="222A35" w:themeColor="text2" w:themeShade="80"/>
        <w:sz w:val="18"/>
        <w:szCs w:val="18"/>
      </w:rPr>
    </w:pPr>
    <w:r w:rsidRPr="00D117D7">
      <w:rPr>
        <w:i/>
        <w:iCs/>
        <w:color w:val="323E4F" w:themeColor="text2" w:themeShade="BF"/>
        <w:sz w:val="18"/>
        <w:szCs w:val="18"/>
      </w:rPr>
      <w:fldChar w:fldCharType="begin"/>
    </w:r>
    <w:r w:rsidRPr="00D117D7">
      <w:rPr>
        <w:i/>
        <w:iCs/>
        <w:color w:val="323E4F" w:themeColor="text2" w:themeShade="BF"/>
        <w:sz w:val="18"/>
        <w:szCs w:val="18"/>
      </w:rPr>
      <w:instrText>PAGE   \* MERGEFORMAT</w:instrText>
    </w:r>
    <w:r w:rsidRPr="00D117D7">
      <w:rPr>
        <w:i/>
        <w:iCs/>
        <w:color w:val="323E4F" w:themeColor="text2" w:themeShade="BF"/>
        <w:sz w:val="18"/>
        <w:szCs w:val="18"/>
      </w:rPr>
      <w:fldChar w:fldCharType="separate"/>
    </w:r>
    <w:r w:rsidRPr="00D117D7">
      <w:rPr>
        <w:i/>
        <w:iCs/>
        <w:color w:val="323E4F" w:themeColor="text2" w:themeShade="BF"/>
        <w:sz w:val="18"/>
        <w:szCs w:val="18"/>
      </w:rPr>
      <w:t>1</w:t>
    </w:r>
    <w:r w:rsidRPr="00D117D7">
      <w:rPr>
        <w:i/>
        <w:iCs/>
        <w:color w:val="323E4F" w:themeColor="text2" w:themeShade="BF"/>
        <w:sz w:val="18"/>
        <w:szCs w:val="18"/>
      </w:rPr>
      <w:fldChar w:fldCharType="end"/>
    </w:r>
    <w:r w:rsidRPr="00D117D7">
      <w:rPr>
        <w:i/>
        <w:iCs/>
        <w:color w:val="323E4F" w:themeColor="text2" w:themeShade="BF"/>
        <w:sz w:val="18"/>
        <w:szCs w:val="18"/>
      </w:rPr>
      <w:t xml:space="preserve"> | </w:t>
    </w:r>
    <w:r w:rsidRPr="00D117D7">
      <w:rPr>
        <w:i/>
        <w:iCs/>
        <w:color w:val="323E4F" w:themeColor="text2" w:themeShade="BF"/>
        <w:sz w:val="18"/>
        <w:szCs w:val="18"/>
      </w:rPr>
      <w:fldChar w:fldCharType="begin"/>
    </w:r>
    <w:r w:rsidRPr="00D117D7">
      <w:rPr>
        <w:i/>
        <w:iCs/>
        <w:color w:val="323E4F" w:themeColor="text2" w:themeShade="BF"/>
        <w:sz w:val="18"/>
        <w:szCs w:val="18"/>
      </w:rPr>
      <w:instrText>NUMPAGES  \* Arabic  \* MERGEFORMAT</w:instrText>
    </w:r>
    <w:r w:rsidRPr="00D117D7">
      <w:rPr>
        <w:i/>
        <w:iCs/>
        <w:color w:val="323E4F" w:themeColor="text2" w:themeShade="BF"/>
        <w:sz w:val="18"/>
        <w:szCs w:val="18"/>
      </w:rPr>
      <w:fldChar w:fldCharType="separate"/>
    </w:r>
    <w:r w:rsidRPr="00D117D7">
      <w:rPr>
        <w:i/>
        <w:iCs/>
        <w:color w:val="323E4F" w:themeColor="text2" w:themeShade="BF"/>
        <w:sz w:val="18"/>
        <w:szCs w:val="18"/>
      </w:rPr>
      <w:t>1</w:t>
    </w:r>
    <w:r w:rsidRPr="00D117D7">
      <w:rPr>
        <w:i/>
        <w:iCs/>
        <w:color w:val="323E4F" w:themeColor="text2" w:themeShade="BF"/>
        <w:sz w:val="18"/>
        <w:szCs w:val="18"/>
      </w:rPr>
      <w:fldChar w:fldCharType="end"/>
    </w:r>
  </w:p>
  <w:p w14:paraId="759A543B" w14:textId="77777777" w:rsidR="00B41F81" w:rsidRDefault="00B41F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5024" w14:textId="77777777" w:rsidR="00D51A5E" w:rsidRDefault="00D51A5E" w:rsidP="00750FE7">
      <w:r>
        <w:separator/>
      </w:r>
    </w:p>
  </w:footnote>
  <w:footnote w:type="continuationSeparator" w:id="0">
    <w:p w14:paraId="69CB2A38" w14:textId="77777777" w:rsidR="00D51A5E" w:rsidRDefault="00D51A5E" w:rsidP="0075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00B4" w14:textId="77777777" w:rsidR="00750FE7" w:rsidRDefault="00750FE7" w:rsidP="00750FE7">
    <w:pPr>
      <w:pStyle w:val="Encabezado"/>
      <w:ind w:left="-851"/>
    </w:pPr>
    <w:r>
      <w:rPr>
        <w:noProof/>
      </w:rPr>
      <w:drawing>
        <wp:inline distT="0" distB="0" distL="0" distR="0" wp14:anchorId="744CC5FE" wp14:editId="40549051">
          <wp:extent cx="1691640" cy="739140"/>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tretch>
                    <a:fillRect/>
                  </a:stretch>
                </pic:blipFill>
                <pic:spPr bwMode="auto">
                  <a:xfrm>
                    <a:off x="0" y="0"/>
                    <a:ext cx="1691640" cy="739140"/>
                  </a:xfrm>
                  <a:prstGeom prst="rect">
                    <a:avLst/>
                  </a:prstGeom>
                </pic:spPr>
              </pic:pic>
            </a:graphicData>
          </a:graphic>
        </wp:inline>
      </w:drawing>
    </w:r>
    <w:r>
      <w:ptab w:relativeTo="margin" w:alignment="center" w:leader="none"/>
    </w:r>
    <w:r>
      <w:rPr>
        <w:noProof/>
      </w:rPr>
      <mc:AlternateContent>
        <mc:Choice Requires="wps">
          <w:drawing>
            <wp:inline distT="0" distB="0" distL="0" distR="0" wp14:anchorId="68BB6036" wp14:editId="7766E070">
              <wp:extent cx="2804160" cy="918210"/>
              <wp:effectExtent l="0" t="0" r="0" b="0"/>
              <wp:docPr id="4" name="Marco1"/>
              <wp:cNvGraphicFramePr/>
              <a:graphic xmlns:a="http://schemas.openxmlformats.org/drawingml/2006/main">
                <a:graphicData uri="http://schemas.microsoft.com/office/word/2010/wordprocessingShape">
                  <wps:wsp>
                    <wps:cNvSpPr txBox="1"/>
                    <wps:spPr>
                      <a:xfrm>
                        <a:off x="0" y="0"/>
                        <a:ext cx="2804160" cy="918210"/>
                      </a:xfrm>
                      <a:prstGeom prst="rect">
                        <a:avLst/>
                      </a:prstGeom>
                    </wps:spPr>
                    <wps:txbx>
                      <w:txbxContent>
                        <w:p w14:paraId="0F058DA3" w14:textId="77777777" w:rsidR="00750FE7" w:rsidRDefault="00750FE7" w:rsidP="00750FE7">
                          <w:pPr>
                            <w:pStyle w:val="Contenidodelmarco"/>
                            <w:rPr>
                              <w:b/>
                              <w:color w:val="C80F2E"/>
                              <w:sz w:val="16"/>
                            </w:rPr>
                          </w:pPr>
                        </w:p>
                        <w:p w14:paraId="6317557E" w14:textId="77777777" w:rsidR="00750FE7" w:rsidRDefault="00750FE7" w:rsidP="00750FE7">
                          <w:pPr>
                            <w:pStyle w:val="Contenidodelmarco"/>
                            <w:rPr>
                              <w:b/>
                              <w:color w:val="C80F2E"/>
                              <w:sz w:val="16"/>
                            </w:rPr>
                          </w:pPr>
                        </w:p>
                        <w:p w14:paraId="1137B438" w14:textId="77777777" w:rsidR="00750FE7" w:rsidRDefault="00750FE7" w:rsidP="00750FE7">
                          <w:pPr>
                            <w:pStyle w:val="Contenidodelmarco"/>
                            <w:rPr>
                              <w:b/>
                              <w:color w:val="C80F2E"/>
                              <w:sz w:val="16"/>
                            </w:rPr>
                          </w:pPr>
                        </w:p>
                        <w:p w14:paraId="21097BF9" w14:textId="77777777" w:rsidR="00750FE7" w:rsidRDefault="00750FE7" w:rsidP="00750FE7">
                          <w:pPr>
                            <w:pStyle w:val="Contenidodelmarco"/>
                            <w:rPr>
                              <w:b/>
                              <w:color w:val="C80F2E"/>
                              <w:sz w:val="16"/>
                            </w:rPr>
                          </w:pPr>
                        </w:p>
                        <w:p w14:paraId="03E5B8B5" w14:textId="77777777" w:rsidR="00750FE7" w:rsidRDefault="00750FE7" w:rsidP="00750FE7">
                          <w:pPr>
                            <w:pStyle w:val="Contenidodelmarco"/>
                            <w:rPr>
                              <w:b/>
                              <w:color w:val="C80F2E"/>
                              <w:sz w:val="16"/>
                            </w:rPr>
                          </w:pPr>
                          <w:r>
                            <w:rPr>
                              <w:b/>
                              <w:color w:val="C80F2E"/>
                              <w:sz w:val="16"/>
                            </w:rPr>
                            <w:t>Dirección General de Coordinación de la Acción del Gobierno</w:t>
                          </w:r>
                          <w:r>
                            <w:rPr>
                              <w:b/>
                              <w:color w:val="C80F2E"/>
                              <w:sz w:val="16"/>
                            </w:rPr>
                            <w:br/>
                          </w:r>
                        </w:p>
                        <w:p w14:paraId="1EEBA28A" w14:textId="77777777" w:rsidR="00750FE7" w:rsidRDefault="00750FE7" w:rsidP="00750FE7">
                          <w:pPr>
                            <w:pStyle w:val="Contenidodelmarco"/>
                            <w:rPr>
                              <w:b/>
                              <w:color w:val="C80F2E"/>
                              <w:sz w:val="16"/>
                            </w:rPr>
                          </w:pPr>
                        </w:p>
                      </w:txbxContent>
                    </wps:txbx>
                    <wps:bodyPr lIns="0" tIns="0" rIns="0" bIns="0" anchor="t">
                      <a:noAutofit/>
                    </wps:bodyPr>
                  </wps:wsp>
                </a:graphicData>
              </a:graphic>
            </wp:inline>
          </w:drawing>
        </mc:Choice>
        <mc:Fallback>
          <w:pict>
            <v:shapetype w14:anchorId="68BB6036" id="_x0000_t202" coordsize="21600,21600" o:spt="202" path="m,l,21600r21600,l21600,xe">
              <v:stroke joinstyle="miter"/>
              <v:path gradientshapeok="t" o:connecttype="rect"/>
            </v:shapetype>
            <v:shape id="Marco1" o:spid="_x0000_s1026" type="#_x0000_t202" style="width:220.8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" filled="f" stroked="f">
              <v:textbox inset="0,0,0,0">
                <w:txbxContent>
                  <w:p w:rsidR="00750FE7" w:rsidRDefault="00750FE7" w:rsidP="00750FE7">
                    <w:pPr>
                      <w:pStyle w:val="Contenidodelmarco"/>
                      <w:rPr>
                        <w:b/>
                        <w:color w:val="C80F2E"/>
                        <w:sz w:val="16"/>
                      </w:rPr>
                    </w:pPr>
                  </w:p>
                  <w:p w:rsidR="00750FE7" w:rsidRDefault="00750FE7" w:rsidP="00750FE7">
                    <w:pPr>
                      <w:pStyle w:val="Contenidodelmarco"/>
                      <w:rPr>
                        <w:b/>
                        <w:color w:val="C80F2E"/>
                        <w:sz w:val="16"/>
                      </w:rPr>
                    </w:pPr>
                  </w:p>
                  <w:p w:rsidR="00750FE7" w:rsidRDefault="00750FE7" w:rsidP="00750FE7">
                    <w:pPr>
                      <w:pStyle w:val="Contenidodelmarco"/>
                      <w:rPr>
                        <w:b/>
                        <w:color w:val="C80F2E"/>
                        <w:sz w:val="16"/>
                      </w:rPr>
                    </w:pPr>
                  </w:p>
                  <w:p w:rsidR="00750FE7" w:rsidRDefault="00750FE7" w:rsidP="00750FE7">
                    <w:pPr>
                      <w:pStyle w:val="Contenidodelmarco"/>
                      <w:rPr>
                        <w:b/>
                        <w:color w:val="C80F2E"/>
                        <w:sz w:val="16"/>
                      </w:rPr>
                    </w:pPr>
                  </w:p>
                  <w:p w:rsidR="00750FE7" w:rsidRDefault="00750FE7" w:rsidP="00750FE7">
                    <w:pPr>
                      <w:pStyle w:val="Contenidodelmarco"/>
                      <w:rPr>
                        <w:b/>
                        <w:color w:val="C80F2E"/>
                        <w:sz w:val="16"/>
                      </w:rPr>
                    </w:pPr>
                    <w:r>
                      <w:rPr>
                        <w:b/>
                        <w:color w:val="C80F2E"/>
                        <w:sz w:val="16"/>
                      </w:rPr>
                      <w:t>Dirección General de Coordinación de la Acción del Gobierno</w:t>
                    </w:r>
                    <w:r>
                      <w:rPr>
                        <w:b/>
                        <w:color w:val="C80F2E"/>
                        <w:sz w:val="16"/>
                      </w:rPr>
                      <w:br/>
                    </w:r>
                  </w:p>
                  <w:p w:rsidR="00750FE7" w:rsidRDefault="00750FE7" w:rsidP="00750FE7">
                    <w:pPr>
                      <w:pStyle w:val="Contenidodelmarco"/>
                      <w:rPr>
                        <w:b/>
                        <w:color w:val="C80F2E"/>
                        <w:sz w:val="16"/>
                      </w:rPr>
                    </w:pPr>
                  </w:p>
                </w:txbxContent>
              </v:textbox>
              <w10:anchorlock/>
            </v:shape>
          </w:pict>
        </mc:Fallback>
      </mc:AlternateContent>
    </w:r>
    <w:r>
      <w:ptab w:relativeTo="margin" w:alignment="right" w:leader="none"/>
    </w:r>
    <w:r w:rsidRPr="00750FE7">
      <w:rPr>
        <w:noProof/>
      </w:rPr>
      <w:drawing>
        <wp:inline distT="0" distB="0" distL="0" distR="0" wp14:anchorId="63D474C5" wp14:editId="0EC293C7">
          <wp:extent cx="590400" cy="5004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0400" cy="50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E0E"/>
    <w:multiLevelType w:val="hybridMultilevel"/>
    <w:tmpl w:val="7E1C943C"/>
    <w:lvl w:ilvl="0" w:tplc="08090001">
      <w:start w:val="1"/>
      <w:numFmt w:val="bullet"/>
      <w:lvlText w:val=""/>
      <w:lvlJc w:val="left"/>
      <w:pPr>
        <w:ind w:left="363" w:hanging="360"/>
      </w:pPr>
      <w:rPr>
        <w:rFonts w:ascii="Symbol" w:hAnsi="Symbol" w:hint="default"/>
      </w:rPr>
    </w:lvl>
    <w:lvl w:ilvl="1" w:tplc="D5603D00">
      <w:start w:val="1"/>
      <w:numFmt w:val="bullet"/>
      <w:lvlText w:val=""/>
      <w:lvlJc w:val="left"/>
      <w:pPr>
        <w:ind w:left="1083" w:hanging="360"/>
      </w:pPr>
      <w:rPr>
        <w:rFonts w:ascii="Wingdings" w:hAnsi="Wingdings" w:hint="default"/>
        <w:color w:val="auto"/>
        <w:sz w:val="24"/>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 w15:restartNumberingAfterBreak="0">
    <w:nsid w:val="0C4C0369"/>
    <w:multiLevelType w:val="hybridMultilevel"/>
    <w:tmpl w:val="02000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1C0187"/>
    <w:multiLevelType w:val="hybridMultilevel"/>
    <w:tmpl w:val="ACCEFE4C"/>
    <w:lvl w:ilvl="0" w:tplc="D5603D00">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D13C1"/>
    <w:multiLevelType w:val="hybridMultilevel"/>
    <w:tmpl w:val="3F646B54"/>
    <w:lvl w:ilvl="0" w:tplc="F2F42636">
      <w:start w:val="1"/>
      <w:numFmt w:val="decimal"/>
      <w:lvlText w:val="%1."/>
      <w:lvlJc w:val="left"/>
      <w:pPr>
        <w:ind w:left="360" w:hanging="360"/>
      </w:pPr>
      <w:rPr>
        <w:color w:val="auto"/>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56E6810"/>
    <w:multiLevelType w:val="hybridMultilevel"/>
    <w:tmpl w:val="B8460F02"/>
    <w:lvl w:ilvl="0" w:tplc="0822417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604799"/>
    <w:multiLevelType w:val="hybridMultilevel"/>
    <w:tmpl w:val="A64C55FA"/>
    <w:lvl w:ilvl="0" w:tplc="9F12248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B550997"/>
    <w:multiLevelType w:val="hybridMultilevel"/>
    <w:tmpl w:val="508431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670443EF"/>
    <w:multiLevelType w:val="hybridMultilevel"/>
    <w:tmpl w:val="B3D6A654"/>
    <w:lvl w:ilvl="0" w:tplc="237CAC5A">
      <w:start w:val="1"/>
      <w:numFmt w:val="bullet"/>
      <w:lvlText w:val=""/>
      <w:lvlJc w:val="left"/>
      <w:pPr>
        <w:ind w:left="720" w:hanging="360"/>
      </w:pPr>
      <w:rPr>
        <w:rFonts w:ascii="Symbol" w:hAnsi="Symbol" w:hint="default"/>
        <w:color w:val="auto"/>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B462C56"/>
    <w:multiLevelType w:val="hybridMultilevel"/>
    <w:tmpl w:val="3732EC6E"/>
    <w:lvl w:ilvl="0" w:tplc="63E258A6">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4D01384"/>
    <w:multiLevelType w:val="hybridMultilevel"/>
    <w:tmpl w:val="CFFEC57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0" w15:restartNumberingAfterBreak="0">
    <w:nsid w:val="7D3959D0"/>
    <w:multiLevelType w:val="hybridMultilevel"/>
    <w:tmpl w:val="04243354"/>
    <w:lvl w:ilvl="0" w:tplc="AC302822">
      <w:numFmt w:val="bullet"/>
      <w:lvlText w:val="-"/>
      <w:lvlJc w:val="left"/>
      <w:pPr>
        <w:ind w:left="1074" w:hanging="360"/>
      </w:pPr>
      <w:rPr>
        <w:rFonts w:ascii="Calibri" w:eastAsia="Times New Roman" w:hAnsi="Calibri" w:cs="Calibri" w:hint="default"/>
      </w:rPr>
    </w:lvl>
    <w:lvl w:ilvl="1" w:tplc="0C0A0003">
      <w:start w:val="1"/>
      <w:numFmt w:val="bullet"/>
      <w:lvlText w:val="o"/>
      <w:lvlJc w:val="left"/>
      <w:pPr>
        <w:ind w:left="1794" w:hanging="360"/>
      </w:pPr>
      <w:rPr>
        <w:rFonts w:ascii="Courier New" w:hAnsi="Courier New" w:cs="Courier New" w:hint="default"/>
      </w:rPr>
    </w:lvl>
    <w:lvl w:ilvl="2" w:tplc="0C0A0005">
      <w:start w:val="1"/>
      <w:numFmt w:val="bullet"/>
      <w:lvlText w:val=""/>
      <w:lvlJc w:val="left"/>
      <w:pPr>
        <w:ind w:left="2514" w:hanging="360"/>
      </w:pPr>
      <w:rPr>
        <w:rFonts w:ascii="Wingdings" w:hAnsi="Wingdings" w:hint="default"/>
      </w:rPr>
    </w:lvl>
    <w:lvl w:ilvl="3" w:tplc="0C0A0001">
      <w:start w:val="1"/>
      <w:numFmt w:val="bullet"/>
      <w:lvlText w:val=""/>
      <w:lvlJc w:val="left"/>
      <w:pPr>
        <w:ind w:left="3234" w:hanging="360"/>
      </w:pPr>
      <w:rPr>
        <w:rFonts w:ascii="Symbol" w:hAnsi="Symbol" w:hint="default"/>
      </w:rPr>
    </w:lvl>
    <w:lvl w:ilvl="4" w:tplc="0C0A0003">
      <w:start w:val="1"/>
      <w:numFmt w:val="bullet"/>
      <w:lvlText w:val="o"/>
      <w:lvlJc w:val="left"/>
      <w:pPr>
        <w:ind w:left="3954" w:hanging="360"/>
      </w:pPr>
      <w:rPr>
        <w:rFonts w:ascii="Courier New" w:hAnsi="Courier New" w:cs="Courier New" w:hint="default"/>
      </w:rPr>
    </w:lvl>
    <w:lvl w:ilvl="5" w:tplc="0C0A0005">
      <w:start w:val="1"/>
      <w:numFmt w:val="bullet"/>
      <w:lvlText w:val=""/>
      <w:lvlJc w:val="left"/>
      <w:pPr>
        <w:ind w:left="4674" w:hanging="360"/>
      </w:pPr>
      <w:rPr>
        <w:rFonts w:ascii="Wingdings" w:hAnsi="Wingdings" w:hint="default"/>
      </w:rPr>
    </w:lvl>
    <w:lvl w:ilvl="6" w:tplc="0C0A0001">
      <w:start w:val="1"/>
      <w:numFmt w:val="bullet"/>
      <w:lvlText w:val=""/>
      <w:lvlJc w:val="left"/>
      <w:pPr>
        <w:ind w:left="5394" w:hanging="360"/>
      </w:pPr>
      <w:rPr>
        <w:rFonts w:ascii="Symbol" w:hAnsi="Symbol" w:hint="default"/>
      </w:rPr>
    </w:lvl>
    <w:lvl w:ilvl="7" w:tplc="0C0A0003">
      <w:start w:val="1"/>
      <w:numFmt w:val="bullet"/>
      <w:lvlText w:val="o"/>
      <w:lvlJc w:val="left"/>
      <w:pPr>
        <w:ind w:left="6114" w:hanging="360"/>
      </w:pPr>
      <w:rPr>
        <w:rFonts w:ascii="Courier New" w:hAnsi="Courier New" w:cs="Courier New" w:hint="default"/>
      </w:rPr>
    </w:lvl>
    <w:lvl w:ilvl="8" w:tplc="0C0A0005">
      <w:start w:val="1"/>
      <w:numFmt w:val="bullet"/>
      <w:lvlText w:val=""/>
      <w:lvlJc w:val="left"/>
      <w:pPr>
        <w:ind w:left="6834"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0"/>
  </w:num>
  <w:num w:numId="4">
    <w:abstractNumId w:val="9"/>
  </w:num>
  <w:num w:numId="5">
    <w:abstractNumId w:val="0"/>
  </w:num>
  <w:num w:numId="6">
    <w:abstractNumId w:val="2"/>
  </w:num>
  <w:num w:numId="7">
    <w:abstractNumId w:val="1"/>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E7"/>
    <w:rsid w:val="0003338F"/>
    <w:rsid w:val="00093FFD"/>
    <w:rsid w:val="001B2722"/>
    <w:rsid w:val="001D3309"/>
    <w:rsid w:val="002A64B4"/>
    <w:rsid w:val="00351606"/>
    <w:rsid w:val="003626AC"/>
    <w:rsid w:val="003A0E5A"/>
    <w:rsid w:val="003C3873"/>
    <w:rsid w:val="003F322A"/>
    <w:rsid w:val="004A79D4"/>
    <w:rsid w:val="00670DCB"/>
    <w:rsid w:val="006914B3"/>
    <w:rsid w:val="006956D3"/>
    <w:rsid w:val="006D0038"/>
    <w:rsid w:val="007166AC"/>
    <w:rsid w:val="00741B19"/>
    <w:rsid w:val="00750FE7"/>
    <w:rsid w:val="00755BD1"/>
    <w:rsid w:val="008F25D3"/>
    <w:rsid w:val="009451D4"/>
    <w:rsid w:val="009F3C8A"/>
    <w:rsid w:val="00A257D4"/>
    <w:rsid w:val="00A82202"/>
    <w:rsid w:val="00AA60CA"/>
    <w:rsid w:val="00B41F81"/>
    <w:rsid w:val="00D117D7"/>
    <w:rsid w:val="00D51A5E"/>
    <w:rsid w:val="00DB4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6856"/>
  <w15:chartTrackingRefBased/>
  <w15:docId w15:val="{DB1A8D43-7295-4B4D-96C6-FD226ED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D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0FE7"/>
    <w:pPr>
      <w:tabs>
        <w:tab w:val="center" w:pos="4252"/>
        <w:tab w:val="right" w:pos="8504"/>
      </w:tabs>
    </w:pPr>
  </w:style>
  <w:style w:type="character" w:customStyle="1" w:styleId="EncabezadoCar">
    <w:name w:val="Encabezado Car"/>
    <w:basedOn w:val="Fuentedeprrafopredeter"/>
    <w:link w:val="Encabezado"/>
    <w:uiPriority w:val="99"/>
    <w:rsid w:val="00750FE7"/>
  </w:style>
  <w:style w:type="paragraph" w:styleId="Piedepgina">
    <w:name w:val="footer"/>
    <w:basedOn w:val="Normal"/>
    <w:link w:val="PiedepginaCar"/>
    <w:uiPriority w:val="99"/>
    <w:unhideWhenUsed/>
    <w:rsid w:val="00750FE7"/>
    <w:pPr>
      <w:tabs>
        <w:tab w:val="center" w:pos="4252"/>
        <w:tab w:val="right" w:pos="8504"/>
      </w:tabs>
    </w:pPr>
  </w:style>
  <w:style w:type="character" w:customStyle="1" w:styleId="PiedepginaCar">
    <w:name w:val="Pie de página Car"/>
    <w:basedOn w:val="Fuentedeprrafopredeter"/>
    <w:link w:val="Piedepgina"/>
    <w:uiPriority w:val="99"/>
    <w:rsid w:val="00750FE7"/>
  </w:style>
  <w:style w:type="paragraph" w:customStyle="1" w:styleId="Contenidodelmarco">
    <w:name w:val="Contenido del marco"/>
    <w:basedOn w:val="Normal"/>
    <w:qFormat/>
    <w:rsid w:val="00750FE7"/>
    <w:pPr>
      <w:suppressAutoHyphens/>
      <w:textAlignment w:val="baseline"/>
    </w:pPr>
    <w:rPr>
      <w:rFonts w:ascii="Roboto" w:eastAsia="Roboto" w:hAnsi="Roboto" w:cs="Roboto"/>
      <w:kern w:val="2"/>
      <w:szCs w:val="24"/>
      <w:lang w:eastAsia="zh-CN" w:bidi="hi-IN"/>
    </w:rPr>
  </w:style>
  <w:style w:type="paragraph" w:styleId="Prrafodelista">
    <w:name w:val="List Paragraph"/>
    <w:basedOn w:val="Normal"/>
    <w:uiPriority w:val="34"/>
    <w:qFormat/>
    <w:rsid w:val="00D117D7"/>
    <w:pPr>
      <w:ind w:left="720"/>
    </w:pPr>
  </w:style>
  <w:style w:type="paragraph" w:styleId="Textodeglobo">
    <w:name w:val="Balloon Text"/>
    <w:basedOn w:val="Normal"/>
    <w:link w:val="TextodegloboCar"/>
    <w:uiPriority w:val="99"/>
    <w:semiHidden/>
    <w:unhideWhenUsed/>
    <w:rsid w:val="00093F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96311">
      <w:bodyDiv w:val="1"/>
      <w:marLeft w:val="0"/>
      <w:marRight w:val="0"/>
      <w:marTop w:val="0"/>
      <w:marBottom w:val="0"/>
      <w:divBdr>
        <w:top w:val="none" w:sz="0" w:space="0" w:color="auto"/>
        <w:left w:val="none" w:sz="0" w:space="0" w:color="auto"/>
        <w:bottom w:val="none" w:sz="0" w:space="0" w:color="auto"/>
        <w:right w:val="none" w:sz="0" w:space="0" w:color="auto"/>
      </w:divBdr>
    </w:div>
    <w:div w:id="14796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4984</Words>
  <Characters>27414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BELTRÁN, Mª DOLORES</dc:creator>
  <cp:keywords/>
  <dc:description/>
  <cp:lastModifiedBy>DELGADO DE LAS MARINAS, JULIÁN</cp:lastModifiedBy>
  <cp:revision>2</cp:revision>
  <cp:lastPrinted>2021-01-13T14:42:00Z</cp:lastPrinted>
  <dcterms:created xsi:type="dcterms:W3CDTF">2021-06-25T09:14:00Z</dcterms:created>
  <dcterms:modified xsi:type="dcterms:W3CDTF">2021-06-25T09:14:00Z</dcterms:modified>
</cp:coreProperties>
</file>