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0350" w14:textId="77777777" w:rsidR="00D117D7" w:rsidRPr="00A0532A" w:rsidRDefault="00D117D7" w:rsidP="007361E2">
      <w:pPr>
        <w:rPr>
          <w:lang w:val="ca-ES-valencia"/>
        </w:rPr>
      </w:pPr>
      <w:bookmarkStart w:id="0" w:name="_GoBack"/>
      <w:bookmarkEnd w:id="0"/>
    </w:p>
    <w:p w14:paraId="11FA0351" w14:textId="1FA2AB02" w:rsidR="008F1F09" w:rsidRPr="00A0532A" w:rsidRDefault="00836811" w:rsidP="00836811">
      <w:pPr>
        <w:pStyle w:val="Ttulo2"/>
        <w:rPr>
          <w:lang w:val="ca-ES-valencia"/>
        </w:rPr>
      </w:pPr>
      <w:r w:rsidRPr="00A0532A">
        <w:rPr>
          <w:lang w:val="ca-ES-valencia"/>
        </w:rPr>
        <w:t>SÍNTESI</w:t>
      </w:r>
    </w:p>
    <w:p w14:paraId="11FA0352" w14:textId="24636CB7" w:rsidR="008F1F09" w:rsidRPr="00A0532A" w:rsidRDefault="008F1F09" w:rsidP="008F1F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ca-ES-valencia"/>
        </w:rPr>
      </w:pPr>
      <w:r w:rsidRPr="00A0532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ca-ES-valencia"/>
        </w:rPr>
        <w:t>Reglament (UE) 2021/241 del Parlament Europeu i del Consell de 12 de febrer de 2021 pel qual s'estableix el Mecanisme de Recuperació i Resiliència</w:t>
      </w:r>
      <w:r w:rsidR="0068404A" w:rsidRPr="00A0532A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ca-ES-valencia"/>
        </w:rPr>
        <w:t xml:space="preserve"> (DUE 18 de febrer)</w:t>
      </w:r>
    </w:p>
    <w:p w14:paraId="11FA0353" w14:textId="77777777" w:rsidR="008F1F09" w:rsidRPr="00A0532A" w:rsidRDefault="008F1F09" w:rsidP="008F1F09">
      <w:pPr>
        <w:jc w:val="both"/>
        <w:rPr>
          <w:lang w:val="ca-ES-valencia"/>
        </w:rPr>
      </w:pPr>
    </w:p>
    <w:p w14:paraId="11FA0358" w14:textId="0FA0B0C8" w:rsidR="006818BC" w:rsidRPr="00A0532A" w:rsidRDefault="00153412" w:rsidP="00581062">
      <w:pPr>
        <w:jc w:val="both"/>
        <w:rPr>
          <w:lang w:val="ca-ES-valencia"/>
        </w:rPr>
      </w:pPr>
      <w:r w:rsidRPr="00A0532A">
        <w:rPr>
          <w:lang w:val="ca-ES-valencia"/>
        </w:rPr>
        <w:t xml:space="preserve">En el marc dels seus objectius estratègics, el MRR té </w:t>
      </w:r>
      <w:r w:rsidRPr="00A0532A">
        <w:rPr>
          <w:b/>
          <w:bCs/>
          <w:lang w:val="ca-ES-valencia"/>
        </w:rPr>
        <w:t>un objectiu específic</w:t>
      </w:r>
      <w:r w:rsidRPr="00A0532A">
        <w:rPr>
          <w:lang w:val="ca-ES-valencia"/>
        </w:rPr>
        <w:t xml:space="preserve">: </w:t>
      </w:r>
      <w:r w:rsidRPr="00A0532A">
        <w:rPr>
          <w:b/>
          <w:bCs/>
          <w:lang w:val="ca-ES-valencia"/>
        </w:rPr>
        <w:t>proporcionar als Estats membres (EEMM) ajuda financera</w:t>
      </w:r>
      <w:r w:rsidRPr="00A0532A">
        <w:rPr>
          <w:lang w:val="ca-ES-valencia"/>
        </w:rPr>
        <w:t xml:space="preserve"> perquè aconseguisquen les fites i objectius de les</w:t>
      </w:r>
      <w:r w:rsidR="00624AC3" w:rsidRPr="00A0532A">
        <w:rPr>
          <w:lang w:val="ca-ES-valencia"/>
        </w:rPr>
        <w:t xml:space="preserve"> </w:t>
      </w:r>
      <w:r w:rsidRPr="00A0532A">
        <w:rPr>
          <w:lang w:val="ca-ES-valencia"/>
        </w:rPr>
        <w:t>reformes i inversions dels seus plans de recuperació i resiliència</w:t>
      </w:r>
      <w:r w:rsidR="00C378D6" w:rsidRPr="00A0532A">
        <w:rPr>
          <w:lang w:val="ca-ES-valencia"/>
        </w:rPr>
        <w:t xml:space="preserve">. </w:t>
      </w:r>
      <w:r w:rsidR="00581062" w:rsidRPr="00A0532A">
        <w:rPr>
          <w:b/>
          <w:bCs/>
          <w:lang w:val="ca-ES-valencia"/>
        </w:rPr>
        <w:t xml:space="preserve">El pressupost del MRR s'estructura en </w:t>
      </w:r>
      <w:r w:rsidR="006818BC" w:rsidRPr="00A0532A">
        <w:rPr>
          <w:lang w:val="ca-ES-valencia"/>
        </w:rPr>
        <w:t>312.500 milions d'euros, en ajudes no reembossables</w:t>
      </w:r>
      <w:r w:rsidR="00581062" w:rsidRPr="00A0532A">
        <w:rPr>
          <w:lang w:val="ca-ES-valencia"/>
        </w:rPr>
        <w:t xml:space="preserve"> i </w:t>
      </w:r>
      <w:r w:rsidR="006818BC" w:rsidRPr="00A0532A">
        <w:rPr>
          <w:lang w:val="ca-ES-valencia"/>
        </w:rPr>
        <w:t>360.000 milions d'euros, en préstecs als EEMM</w:t>
      </w:r>
      <w:r w:rsidR="00581062" w:rsidRPr="00A0532A">
        <w:rPr>
          <w:lang w:val="ca-ES-valencia"/>
        </w:rPr>
        <w:t>.</w:t>
      </w:r>
    </w:p>
    <w:p w14:paraId="11FA0359" w14:textId="77777777" w:rsidR="006818BC" w:rsidRPr="00A0532A" w:rsidRDefault="006818BC" w:rsidP="006818BC">
      <w:pPr>
        <w:pStyle w:val="Prrafodelista"/>
        <w:ind w:left="0"/>
        <w:jc w:val="both"/>
        <w:rPr>
          <w:lang w:val="ca-ES-valencia"/>
        </w:rPr>
      </w:pPr>
    </w:p>
    <w:p w14:paraId="11FA035A" w14:textId="77777777" w:rsidR="003A0E49" w:rsidRPr="00A0532A" w:rsidRDefault="00581062" w:rsidP="00EB35A1">
      <w:pPr>
        <w:pStyle w:val="Prrafodelista"/>
        <w:ind w:left="0"/>
        <w:jc w:val="both"/>
        <w:rPr>
          <w:lang w:val="ca-ES-valencia"/>
        </w:rPr>
      </w:pPr>
      <w:r w:rsidRPr="00A0532A">
        <w:rPr>
          <w:lang w:val="ca-ES-valencia"/>
        </w:rPr>
        <w:t xml:space="preserve">Respecte al període d'execució, cal assenyalar que </w:t>
      </w:r>
      <w:r w:rsidR="00EB35A1" w:rsidRPr="00A0532A">
        <w:rPr>
          <w:b/>
          <w:bCs/>
          <w:lang w:val="ca-ES-valencia"/>
        </w:rPr>
        <w:t>seran</w:t>
      </w:r>
      <w:r w:rsidR="003A0E49" w:rsidRPr="00A0532A">
        <w:rPr>
          <w:b/>
          <w:bCs/>
          <w:lang w:val="ca-ES-valencia"/>
        </w:rPr>
        <w:t xml:space="preserve"> subvencionables les mesures iniciades</w:t>
      </w:r>
      <w:r w:rsidR="003A0E49" w:rsidRPr="00A0532A">
        <w:rPr>
          <w:lang w:val="ca-ES-valencia"/>
        </w:rPr>
        <w:t xml:space="preserve"> </w:t>
      </w:r>
      <w:r w:rsidR="003A0E49" w:rsidRPr="00A0532A">
        <w:rPr>
          <w:b/>
          <w:bCs/>
          <w:lang w:val="ca-ES-valencia"/>
        </w:rPr>
        <w:t>a partir de l'1 de febrer de 2020</w:t>
      </w:r>
      <w:r w:rsidR="00EB35A1" w:rsidRPr="00A0532A">
        <w:rPr>
          <w:lang w:val="ca-ES-valencia"/>
        </w:rPr>
        <w:t>, sempre tenint en compte que les</w:t>
      </w:r>
      <w:r w:rsidR="003A0E49" w:rsidRPr="00A0532A">
        <w:rPr>
          <w:lang w:val="ca-ES-valencia"/>
        </w:rPr>
        <w:t xml:space="preserve"> reformes i inversions hauran d'estar finalitzades com a més tard el 31 d'agost de 2026</w:t>
      </w:r>
      <w:r w:rsidR="00EB35A1" w:rsidRPr="00A0532A">
        <w:rPr>
          <w:lang w:val="ca-ES-valencia"/>
        </w:rPr>
        <w:t>; i que els</w:t>
      </w:r>
      <w:r w:rsidR="003A0E49" w:rsidRPr="00A0532A">
        <w:rPr>
          <w:lang w:val="ca-ES-valencia"/>
        </w:rPr>
        <w:t xml:space="preserve"> pagaments podran realitzar-se fins al 31 de desembre de 2026.</w:t>
      </w:r>
    </w:p>
    <w:p w14:paraId="11FA035B" w14:textId="77777777" w:rsidR="00F37E65" w:rsidRPr="00A0532A" w:rsidRDefault="00F37E65" w:rsidP="00F37E65">
      <w:pPr>
        <w:rPr>
          <w:lang w:val="ca-ES-valencia"/>
        </w:rPr>
      </w:pPr>
    </w:p>
    <w:p w14:paraId="11FA035C" w14:textId="77777777" w:rsidR="0036317B" w:rsidRPr="00A0532A" w:rsidRDefault="00EB35A1" w:rsidP="002A6DAB">
      <w:pPr>
        <w:jc w:val="both"/>
        <w:rPr>
          <w:b/>
          <w:bCs/>
          <w:lang w:val="ca-ES-valencia"/>
        </w:rPr>
      </w:pPr>
      <w:r w:rsidRPr="00A0532A">
        <w:rPr>
          <w:lang w:val="ca-ES-valencia"/>
        </w:rPr>
        <w:t>En el propi Reglament s'estableix la contribució</w:t>
      </w:r>
      <w:r w:rsidR="00F37E65" w:rsidRPr="00A0532A">
        <w:rPr>
          <w:lang w:val="ca-ES-valencia"/>
        </w:rPr>
        <w:t xml:space="preserve"> financera màxima</w:t>
      </w:r>
      <w:r w:rsidRPr="00A0532A">
        <w:rPr>
          <w:lang w:val="ca-ES-valencia"/>
        </w:rPr>
        <w:t xml:space="preserve"> inicial</w:t>
      </w:r>
      <w:r w:rsidR="00382B67" w:rsidRPr="00A0532A">
        <w:rPr>
          <w:lang w:val="ca-ES-valencia"/>
        </w:rPr>
        <w:t xml:space="preserve"> en ajudes no reembossables</w:t>
      </w:r>
      <w:r w:rsidRPr="00A0532A">
        <w:rPr>
          <w:lang w:val="ca-ES-valencia"/>
        </w:rPr>
        <w:t xml:space="preserve">, fixant-la per a Espanya </w:t>
      </w:r>
      <w:r w:rsidR="00F37E65" w:rsidRPr="00A0532A">
        <w:rPr>
          <w:lang w:val="ca-ES-valencia"/>
        </w:rPr>
        <w:t>en quasi 70.000 milions d'euros</w:t>
      </w:r>
      <w:r w:rsidRPr="00A0532A">
        <w:rPr>
          <w:lang w:val="ca-ES-valencia"/>
        </w:rPr>
        <w:t>. No obstant això, cal</w:t>
      </w:r>
      <w:r w:rsidR="00F37E65" w:rsidRPr="00A0532A">
        <w:rPr>
          <w:lang w:val="ca-ES-valencia"/>
        </w:rPr>
        <w:t xml:space="preserve">  tindre en compte que la mateixa serà</w:t>
      </w:r>
      <w:r w:rsidR="00CE0A24" w:rsidRPr="00A0532A">
        <w:rPr>
          <w:lang w:val="ca-ES-valencia"/>
        </w:rPr>
        <w:t xml:space="preserve"> objecte d'actualització </w:t>
      </w:r>
      <w:r w:rsidR="00F37E65" w:rsidRPr="00A0532A">
        <w:rPr>
          <w:lang w:val="ca-ES-valencia"/>
        </w:rPr>
        <w:t>a tot tardar el 30 de juny de 2022.</w:t>
      </w:r>
      <w:r w:rsidRPr="00A0532A">
        <w:rPr>
          <w:lang w:val="ca-ES-valencia"/>
        </w:rPr>
        <w:t xml:space="preserve"> </w:t>
      </w:r>
      <w:r w:rsidR="006B2A16" w:rsidRPr="00A0532A">
        <w:rPr>
          <w:b/>
          <w:bCs/>
          <w:lang w:val="ca-ES-valencia"/>
        </w:rPr>
        <w:t>Les ajudes no reembossables</w:t>
      </w:r>
      <w:r w:rsidR="00981719" w:rsidRPr="00A0532A">
        <w:rPr>
          <w:b/>
          <w:bCs/>
          <w:lang w:val="ca-ES-valencia"/>
        </w:rPr>
        <w:t xml:space="preserve"> estaran disponibles fins al 31 de desembre de 2023</w:t>
      </w:r>
      <w:r w:rsidR="00470911" w:rsidRPr="00A0532A">
        <w:rPr>
          <w:b/>
          <w:bCs/>
          <w:lang w:val="ca-ES-valencia"/>
        </w:rPr>
        <w:t xml:space="preserve">. </w:t>
      </w:r>
      <w:r w:rsidR="00470911" w:rsidRPr="00A0532A">
        <w:rPr>
          <w:lang w:val="ca-ES-valencia"/>
        </w:rPr>
        <w:t>En concret, es fixa un percentatge del 70% fins al 31 de desembre de 2022, estant disponible el 30% restant des de l'endemà fins al 31 de desembre de 2023</w:t>
      </w:r>
      <w:r w:rsidR="006B2A16" w:rsidRPr="00A0532A">
        <w:rPr>
          <w:lang w:val="ca-ES-valencia"/>
        </w:rPr>
        <w:t>.</w:t>
      </w:r>
    </w:p>
    <w:p w14:paraId="11FA035D" w14:textId="77777777" w:rsidR="00470911" w:rsidRPr="00A0532A" w:rsidRDefault="00470911" w:rsidP="00470911">
      <w:pPr>
        <w:jc w:val="both"/>
        <w:rPr>
          <w:lang w:val="ca-ES-valencia"/>
        </w:rPr>
      </w:pPr>
    </w:p>
    <w:p w14:paraId="11FA035E" w14:textId="3FCED156" w:rsidR="00470911" w:rsidRPr="00A0532A" w:rsidRDefault="00836811" w:rsidP="00470911">
      <w:pPr>
        <w:pStyle w:val="Textoindependiente2"/>
        <w:rPr>
          <w:lang w:val="ca-ES-valencia"/>
        </w:rPr>
      </w:pPr>
      <w:r w:rsidRPr="00A0532A">
        <w:rPr>
          <w:lang w:val="ca-ES-valencia"/>
        </w:rPr>
        <w:t>Els</w:t>
      </w:r>
      <w:r w:rsidR="00624AC3" w:rsidRPr="00A0532A">
        <w:rPr>
          <w:b/>
          <w:bCs/>
          <w:lang w:val="ca-ES-valencia"/>
        </w:rPr>
        <w:t xml:space="preserve"> Plans nacionals d'RR</w:t>
      </w:r>
      <w:r w:rsidR="00470911" w:rsidRPr="00A0532A">
        <w:rPr>
          <w:b/>
          <w:bCs/>
          <w:lang w:val="ca-ES-valencia"/>
        </w:rPr>
        <w:t xml:space="preserve"> </w:t>
      </w:r>
      <w:r w:rsidR="00624AC3" w:rsidRPr="00A0532A">
        <w:rPr>
          <w:b/>
          <w:bCs/>
          <w:lang w:val="ca-ES-valencia"/>
        </w:rPr>
        <w:t>(PRR)</w:t>
      </w:r>
      <w:r w:rsidR="00470911" w:rsidRPr="00A0532A">
        <w:rPr>
          <w:b/>
          <w:bCs/>
          <w:lang w:val="ca-ES-valencia"/>
        </w:rPr>
        <w:t xml:space="preserve"> </w:t>
      </w:r>
      <w:r w:rsidR="00470911" w:rsidRPr="00A0532A">
        <w:rPr>
          <w:lang w:val="ca-ES-valencia"/>
        </w:rPr>
        <w:t xml:space="preserve">han de ser presentats pels </w:t>
      </w:r>
      <w:r w:rsidR="00624AC3" w:rsidRPr="00A0532A">
        <w:rPr>
          <w:lang w:val="ca-ES-valencia"/>
        </w:rPr>
        <w:t>EEMM abans del 30 d'abril</w:t>
      </w:r>
      <w:r w:rsidR="00ED6BC6" w:rsidRPr="00A0532A">
        <w:rPr>
          <w:lang w:val="ca-ES-valencia"/>
        </w:rPr>
        <w:t>, juntament amb el seu programa nacional de reformes</w:t>
      </w:r>
      <w:r w:rsidR="00624AC3" w:rsidRPr="00A0532A">
        <w:rPr>
          <w:lang w:val="ca-ES-valencia"/>
        </w:rPr>
        <w:t xml:space="preserve">. </w:t>
      </w:r>
      <w:r w:rsidR="00ED6BC6" w:rsidRPr="00A0532A">
        <w:rPr>
          <w:lang w:val="ca-ES-valencia"/>
        </w:rPr>
        <w:t>A Espanya</w:t>
      </w:r>
      <w:r w:rsidR="00624AC3" w:rsidRPr="00A0532A">
        <w:rPr>
          <w:lang w:val="ca-ES-valencia"/>
        </w:rPr>
        <w:t xml:space="preserve"> una primera versió del </w:t>
      </w:r>
      <w:proofErr w:type="spellStart"/>
      <w:r w:rsidR="00624AC3" w:rsidRPr="00A0532A">
        <w:rPr>
          <w:lang w:val="ca-ES-valencia"/>
        </w:rPr>
        <w:t>Pla</w:t>
      </w:r>
      <w:r w:rsidR="00A0532A">
        <w:rPr>
          <w:lang w:val="ca-ES-valencia"/>
        </w:rPr>
        <w:t>n</w:t>
      </w:r>
      <w:proofErr w:type="spellEnd"/>
      <w:r w:rsidR="00624AC3" w:rsidRPr="00A0532A">
        <w:rPr>
          <w:lang w:val="ca-ES-valencia"/>
        </w:rPr>
        <w:t xml:space="preserve"> Espa</w:t>
      </w:r>
      <w:r w:rsidR="00A0532A">
        <w:rPr>
          <w:lang w:val="ca-ES-valencia"/>
        </w:rPr>
        <w:t>ñ</w:t>
      </w:r>
      <w:r w:rsidR="00624AC3" w:rsidRPr="00A0532A">
        <w:rPr>
          <w:lang w:val="ca-ES-valencia"/>
        </w:rPr>
        <w:t xml:space="preserve">a </w:t>
      </w:r>
      <w:proofErr w:type="spellStart"/>
      <w:r w:rsidR="00624AC3" w:rsidRPr="00A0532A">
        <w:rPr>
          <w:lang w:val="ca-ES-valencia"/>
        </w:rPr>
        <w:t>P</w:t>
      </w:r>
      <w:r w:rsidR="00A0532A">
        <w:rPr>
          <w:lang w:val="ca-ES-valencia"/>
        </w:rPr>
        <w:t>uede</w:t>
      </w:r>
      <w:proofErr w:type="spellEnd"/>
      <w:r w:rsidR="00624AC3" w:rsidRPr="00A0532A">
        <w:rPr>
          <w:lang w:val="ca-ES-valencia"/>
        </w:rPr>
        <w:t xml:space="preserve"> va ser presentada pel president del Govern el passat 7 d'octubre</w:t>
      </w:r>
      <w:r w:rsidR="00ED6BC6" w:rsidRPr="00A0532A">
        <w:rPr>
          <w:lang w:val="ca-ES-valencia"/>
        </w:rPr>
        <w:t>, estant pendent de remissió la versió definitiva d'aquest. La Comissió avaluarà el pla, i el Consell, a proposta de la Comissió, aprovarà la seua execució</w:t>
      </w:r>
      <w:r w:rsidR="00F64F13" w:rsidRPr="00A0532A">
        <w:rPr>
          <w:lang w:val="ca-ES-valencia"/>
        </w:rPr>
        <w:t>.</w:t>
      </w:r>
    </w:p>
    <w:p w14:paraId="11FA035F" w14:textId="77777777" w:rsidR="003A0E49" w:rsidRPr="00A0532A" w:rsidRDefault="003A0E49" w:rsidP="003A0E49">
      <w:pPr>
        <w:pStyle w:val="Prrafodelista"/>
        <w:rPr>
          <w:lang w:val="ca-ES-valencia"/>
        </w:rPr>
      </w:pPr>
    </w:p>
    <w:p w14:paraId="11FA0360" w14:textId="45892AE4" w:rsidR="00156041" w:rsidRPr="00A0532A" w:rsidRDefault="00ED6BC6" w:rsidP="00156041">
      <w:pPr>
        <w:jc w:val="both"/>
        <w:rPr>
          <w:lang w:val="ca-ES-valencia"/>
        </w:rPr>
      </w:pPr>
      <w:r w:rsidRPr="00A0532A">
        <w:rPr>
          <w:lang w:val="ca-ES-valencia"/>
        </w:rPr>
        <w:t xml:space="preserve">L'ajuda concedida </w:t>
      </w:r>
      <w:r w:rsidR="00156041" w:rsidRPr="00A0532A">
        <w:rPr>
          <w:lang w:val="ca-ES-valencia"/>
        </w:rPr>
        <w:t xml:space="preserve">pel MRR </w:t>
      </w:r>
      <w:r w:rsidRPr="00A0532A">
        <w:rPr>
          <w:b/>
          <w:bCs/>
          <w:lang w:val="ca-ES-valencia"/>
        </w:rPr>
        <w:t>se sumarà a la proporcionada conformement a altres programes</w:t>
      </w:r>
      <w:r w:rsidRPr="00A0532A">
        <w:rPr>
          <w:lang w:val="ca-ES-valencia"/>
        </w:rPr>
        <w:t xml:space="preserve"> i instruments de la Unió </w:t>
      </w:r>
      <w:r w:rsidRPr="00A0532A">
        <w:rPr>
          <w:b/>
          <w:bCs/>
          <w:lang w:val="ca-ES-valencia"/>
        </w:rPr>
        <w:t>i no podrà cobrir els mateixos costos.</w:t>
      </w:r>
    </w:p>
    <w:p w14:paraId="11FA0361" w14:textId="77777777" w:rsidR="00ED6BC6" w:rsidRPr="00A0532A" w:rsidRDefault="00ED6BC6" w:rsidP="00ED6BC6">
      <w:pPr>
        <w:pStyle w:val="Textoindependiente2"/>
        <w:rPr>
          <w:lang w:val="ca-ES-valencia"/>
        </w:rPr>
      </w:pPr>
    </w:p>
    <w:p w14:paraId="11FA0362" w14:textId="7C41B16C" w:rsidR="00346489" w:rsidRPr="00A0532A" w:rsidRDefault="00ED6BC6" w:rsidP="00346489">
      <w:pPr>
        <w:pStyle w:val="Textoindependiente2"/>
        <w:rPr>
          <w:b/>
          <w:bCs/>
          <w:lang w:val="ca-ES-valencia"/>
        </w:rPr>
      </w:pPr>
      <w:r w:rsidRPr="00A0532A">
        <w:rPr>
          <w:lang w:val="ca-ES-valencia"/>
        </w:rPr>
        <w:t xml:space="preserve">Els EEMM </w:t>
      </w:r>
      <w:r w:rsidRPr="00A0532A">
        <w:rPr>
          <w:b/>
          <w:bCs/>
          <w:lang w:val="ca-ES-valencia"/>
        </w:rPr>
        <w:t>han d'informar dues vegades a l'any</w:t>
      </w:r>
      <w:r w:rsidR="00346489" w:rsidRPr="00A0532A">
        <w:rPr>
          <w:lang w:val="ca-ES-valencia"/>
        </w:rPr>
        <w:t xml:space="preserve"> </w:t>
      </w:r>
      <w:r w:rsidRPr="00A0532A">
        <w:rPr>
          <w:lang w:val="ca-ES-valencia"/>
        </w:rPr>
        <w:t>sobre els avanços realitzats en l'execució del seu pla.</w:t>
      </w:r>
      <w:r w:rsidR="008E095C" w:rsidRPr="00A0532A">
        <w:rPr>
          <w:lang w:val="ca-ES-valencia"/>
        </w:rPr>
        <w:t xml:space="preserve"> </w:t>
      </w:r>
      <w:r w:rsidRPr="00A0532A">
        <w:rPr>
          <w:lang w:val="ca-ES-valencia"/>
        </w:rPr>
        <w:t xml:space="preserve">L'assoliment de resultats per a la concessió del finançament es mesura per l'emplene de fites i objectius mesurats en indicadors. </w:t>
      </w:r>
      <w:r w:rsidRPr="00A0532A">
        <w:rPr>
          <w:b/>
          <w:bCs/>
          <w:lang w:val="ca-ES-valencia"/>
        </w:rPr>
        <w:t>Una vegada aconseguits aquests indicadors</w:t>
      </w:r>
      <w:r w:rsidRPr="00A0532A">
        <w:rPr>
          <w:lang w:val="ca-ES-valencia"/>
        </w:rPr>
        <w:t xml:space="preserve">, els EE.MM </w:t>
      </w:r>
      <w:r w:rsidRPr="00A0532A">
        <w:rPr>
          <w:b/>
          <w:bCs/>
          <w:lang w:val="ca-ES-valencia"/>
        </w:rPr>
        <w:t>hauran de presentar a la Comissió una sol·licitud de pagament</w:t>
      </w:r>
      <w:r w:rsidRPr="00A0532A">
        <w:rPr>
          <w:lang w:val="ca-ES-valencia"/>
        </w:rPr>
        <w:t xml:space="preserve"> de la contribució financera i, quan siga procedent</w:t>
      </w:r>
      <w:r w:rsidR="00346489" w:rsidRPr="00A0532A">
        <w:rPr>
          <w:lang w:val="ca-ES-valencia"/>
        </w:rPr>
        <w:t xml:space="preserve"> , del préstec. Els EEMM podran presentar a la Comissió </w:t>
      </w:r>
      <w:r w:rsidR="00346489" w:rsidRPr="00A0532A">
        <w:rPr>
          <w:b/>
          <w:bCs/>
          <w:lang w:val="ca-ES-valencia"/>
        </w:rPr>
        <w:t>aquestes sol·licituds de pagament 2 vegades a l'any.</w:t>
      </w:r>
    </w:p>
    <w:p w14:paraId="11FA0363" w14:textId="77777777" w:rsidR="00CE0A24" w:rsidRPr="00A0532A" w:rsidRDefault="00CE0A24" w:rsidP="00346489">
      <w:pPr>
        <w:widowControl w:val="0"/>
        <w:tabs>
          <w:tab w:val="left" w:pos="462"/>
        </w:tabs>
        <w:autoSpaceDE w:val="0"/>
        <w:autoSpaceDN w:val="0"/>
        <w:spacing w:line="379" w:lineRule="auto"/>
        <w:ind w:right="1520"/>
        <w:jc w:val="both"/>
        <w:rPr>
          <w:b/>
          <w:bCs/>
          <w:lang w:val="ca-ES-valencia"/>
        </w:rPr>
      </w:pPr>
    </w:p>
    <w:p w14:paraId="11FA0364" w14:textId="028B3DA8" w:rsidR="00346489" w:rsidRPr="00A0532A" w:rsidRDefault="004359E1" w:rsidP="00D54F5D">
      <w:pPr>
        <w:pStyle w:val="Textoindependiente2"/>
        <w:rPr>
          <w:lang w:val="ca-ES-valencia"/>
        </w:rPr>
      </w:pPr>
      <w:r w:rsidRPr="00A0532A">
        <w:rPr>
          <w:lang w:val="ca-ES-valencia"/>
        </w:rPr>
        <w:t>D'altra banda, és important assenyalar que els</w:t>
      </w:r>
      <w:r w:rsidR="00346489" w:rsidRPr="00A0532A">
        <w:rPr>
          <w:lang w:val="ca-ES-valencia"/>
        </w:rPr>
        <w:t xml:space="preserve"> recursos assignats als Estats membres en règim de gestió compartida </w:t>
      </w:r>
      <w:r w:rsidR="00346489" w:rsidRPr="00A0532A">
        <w:rPr>
          <w:b/>
          <w:bCs/>
          <w:lang w:val="ca-ES-valencia"/>
        </w:rPr>
        <w:t>podran ser transferits al MRR en les condicions establides en el Reglament sobre disposicions comunes 2021-2027</w:t>
      </w:r>
      <w:r w:rsidR="00346489" w:rsidRPr="00A0532A">
        <w:rPr>
          <w:lang w:val="ca-ES-valencia"/>
        </w:rPr>
        <w:t>. La Comissió executarà aqueixos recursos directament i seran utilitzats exclusivament en benefici de l'Estat membre de què es tracte.</w:t>
      </w:r>
    </w:p>
    <w:p w14:paraId="11FA0365" w14:textId="77777777" w:rsidR="00CB44C0" w:rsidRPr="00A0532A" w:rsidRDefault="00CB44C0" w:rsidP="00D54F5D">
      <w:pPr>
        <w:pStyle w:val="Textoindependiente2"/>
        <w:rPr>
          <w:lang w:val="ca-ES-valencia"/>
        </w:rPr>
      </w:pPr>
    </w:p>
    <w:p w14:paraId="11FA0366" w14:textId="660E4B6F" w:rsidR="004359E1" w:rsidRPr="00A0532A" w:rsidRDefault="004359E1" w:rsidP="00CB44C0">
      <w:pPr>
        <w:pStyle w:val="Textoindependiente2"/>
        <w:rPr>
          <w:lang w:val="ca-ES-valencia"/>
        </w:rPr>
      </w:pPr>
      <w:r w:rsidRPr="00A0532A">
        <w:rPr>
          <w:lang w:val="ca-ES-valencia"/>
        </w:rPr>
        <w:t xml:space="preserve">En relació amb les </w:t>
      </w:r>
      <w:r w:rsidRPr="00A0532A">
        <w:rPr>
          <w:b/>
          <w:bCs/>
          <w:lang w:val="ca-ES-valencia"/>
        </w:rPr>
        <w:t>despeses</w:t>
      </w:r>
      <w:r w:rsidRPr="00A0532A">
        <w:rPr>
          <w:lang w:val="ca-ES-valencia"/>
        </w:rPr>
        <w:t xml:space="preserve"> </w:t>
      </w:r>
      <w:r w:rsidR="00346489" w:rsidRPr="00A0532A">
        <w:rPr>
          <w:b/>
          <w:bCs/>
          <w:lang w:val="ca-ES-valencia"/>
        </w:rPr>
        <w:t>elegibles</w:t>
      </w:r>
      <w:r w:rsidRPr="00A0532A">
        <w:rPr>
          <w:b/>
          <w:bCs/>
          <w:lang w:val="ca-ES-valencia"/>
        </w:rPr>
        <w:t xml:space="preserve">, </w:t>
      </w:r>
      <w:r w:rsidRPr="00A0532A">
        <w:rPr>
          <w:lang w:val="ca-ES-valencia"/>
        </w:rPr>
        <w:t xml:space="preserve">el </w:t>
      </w:r>
      <w:r w:rsidR="00346489" w:rsidRPr="00A0532A">
        <w:rPr>
          <w:lang w:val="ca-ES-valencia"/>
        </w:rPr>
        <w:t xml:space="preserve">MRR podrà cobrir les despeses corresponents </w:t>
      </w:r>
      <w:r w:rsidR="00346489" w:rsidRPr="00A0532A">
        <w:rPr>
          <w:b/>
          <w:bCs/>
          <w:lang w:val="ca-ES-valencia"/>
        </w:rPr>
        <w:t xml:space="preserve">a activitats de preparació, seguiment, control, auditoria i avaluació que es requerisquen per a la gestió </w:t>
      </w:r>
      <w:r w:rsidR="00346489" w:rsidRPr="00A0532A">
        <w:rPr>
          <w:lang w:val="ca-ES-valencia"/>
        </w:rPr>
        <w:t>del MRR i la consecució dels seus objectius</w:t>
      </w:r>
      <w:r w:rsidRPr="00A0532A">
        <w:rPr>
          <w:lang w:val="ca-ES-valencia"/>
        </w:rPr>
        <w:t>.</w:t>
      </w:r>
      <w:r w:rsidR="00346489" w:rsidRPr="00A0532A">
        <w:rPr>
          <w:lang w:val="ca-ES-valencia"/>
        </w:rPr>
        <w:t xml:space="preserve"> </w:t>
      </w:r>
    </w:p>
    <w:p w14:paraId="11FA0367" w14:textId="77777777" w:rsidR="0038477F" w:rsidRPr="00A0532A" w:rsidRDefault="0038477F" w:rsidP="00CB44C0">
      <w:pPr>
        <w:pStyle w:val="Textoindependiente2"/>
        <w:rPr>
          <w:lang w:val="ca-ES-valencia"/>
        </w:rPr>
      </w:pPr>
    </w:p>
    <w:p w14:paraId="11FA0368" w14:textId="7A081D92" w:rsidR="00346489" w:rsidRPr="00A0532A" w:rsidRDefault="0038477F" w:rsidP="0038477F">
      <w:pPr>
        <w:pStyle w:val="Textoindependiente2"/>
        <w:rPr>
          <w:lang w:val="ca-ES-valencia"/>
        </w:rPr>
      </w:pPr>
      <w:r w:rsidRPr="00A0532A">
        <w:rPr>
          <w:lang w:val="ca-ES-valencia"/>
        </w:rPr>
        <w:lastRenderedPageBreak/>
        <w:t xml:space="preserve">Així mateix, </w:t>
      </w:r>
      <w:r w:rsidRPr="00A0532A">
        <w:rPr>
          <w:b/>
          <w:bCs/>
          <w:lang w:val="ca-ES-valencia"/>
        </w:rPr>
        <w:t>els</w:t>
      </w:r>
      <w:r w:rsidR="00346489" w:rsidRPr="00A0532A">
        <w:rPr>
          <w:b/>
          <w:bCs/>
          <w:lang w:val="ca-ES-valencia"/>
        </w:rPr>
        <w:t xml:space="preserve"> perceptors de fons faran esment de l'origen d'aquest finançament i vetlaran per donar-li visibilitat</w:t>
      </w:r>
      <w:r w:rsidR="00346489" w:rsidRPr="00A0532A">
        <w:rPr>
          <w:lang w:val="ca-ES-valencia"/>
        </w:rPr>
        <w:t xml:space="preserve">, inclòs, quan siga procedent, mitjançant l'emblema de la Unió i una declaració de finançament adequat que indique </w:t>
      </w:r>
      <w:r w:rsidR="00346489" w:rsidRPr="00A0532A">
        <w:rPr>
          <w:b/>
          <w:bCs/>
          <w:lang w:val="ca-ES-valencia"/>
        </w:rPr>
        <w:t>«finançat per la Unió Europea Next</w:t>
      </w:r>
      <w:r w:rsidR="00F64F13" w:rsidRPr="00A0532A">
        <w:rPr>
          <w:b/>
          <w:bCs/>
          <w:lang w:val="ca-ES-valencia"/>
        </w:rPr>
        <w:t xml:space="preserve"> </w:t>
      </w:r>
      <w:r w:rsidR="00346489" w:rsidRPr="00A0532A">
        <w:rPr>
          <w:b/>
          <w:bCs/>
          <w:lang w:val="ca-ES-valencia"/>
        </w:rPr>
        <w:t>Generation</w:t>
      </w:r>
      <w:r w:rsidR="00F64F13" w:rsidRPr="00A0532A">
        <w:rPr>
          <w:b/>
          <w:bCs/>
          <w:lang w:val="ca-ES-valencia"/>
        </w:rPr>
        <w:t xml:space="preserve"> </w:t>
      </w:r>
      <w:r w:rsidR="00346489" w:rsidRPr="00A0532A">
        <w:rPr>
          <w:b/>
          <w:bCs/>
          <w:lang w:val="ca-ES-valencia"/>
        </w:rPr>
        <w:t>EU»,</w:t>
      </w:r>
      <w:r w:rsidR="00346489" w:rsidRPr="00A0532A">
        <w:rPr>
          <w:lang w:val="ca-ES-valencia"/>
        </w:rPr>
        <w:t xml:space="preserve"> en particular quan promoguen les accions i els seus resultats, facilitant informació coherent, efectiva i proporcionada dirigida a múltiples destinataris, inclosos els mitjans de comunicació i el públic.</w:t>
      </w:r>
    </w:p>
    <w:p w14:paraId="11FA0369" w14:textId="77777777" w:rsidR="0038477F" w:rsidRPr="00A0532A" w:rsidRDefault="0038477F" w:rsidP="0038477F">
      <w:pPr>
        <w:pStyle w:val="Textoindependiente2"/>
        <w:rPr>
          <w:lang w:val="ca-ES-valencia"/>
        </w:rPr>
      </w:pPr>
    </w:p>
    <w:p w14:paraId="11FA036A" w14:textId="77777777" w:rsidR="00346489" w:rsidRPr="00A0532A" w:rsidRDefault="0038477F" w:rsidP="002A6DAB">
      <w:pPr>
        <w:pStyle w:val="Textoindependiente2"/>
        <w:rPr>
          <w:lang w:val="ca-ES-valencia"/>
        </w:rPr>
      </w:pPr>
      <w:r w:rsidRPr="00A0532A">
        <w:rPr>
          <w:lang w:val="ca-ES-valencia"/>
        </w:rPr>
        <w:t xml:space="preserve">Finalment, el Reglament inclou una sèrie de disposicions relatives a la </w:t>
      </w:r>
      <w:r w:rsidR="00346489" w:rsidRPr="00A0532A">
        <w:rPr>
          <w:b/>
          <w:bCs/>
          <w:lang w:val="ca-ES-valencia"/>
        </w:rPr>
        <w:t>prevenció del frau, la corrupció i els conflictes d'interés</w:t>
      </w:r>
      <w:r w:rsidR="002A6DAB" w:rsidRPr="00A0532A">
        <w:rPr>
          <w:b/>
          <w:bCs/>
          <w:lang w:val="ca-ES-valencia"/>
        </w:rPr>
        <w:t xml:space="preserve">, </w:t>
      </w:r>
      <w:r w:rsidR="002A6DAB" w:rsidRPr="00A0532A">
        <w:rPr>
          <w:lang w:val="ca-ES-valencia"/>
        </w:rPr>
        <w:t xml:space="preserve">incidint </w:t>
      </w:r>
      <w:r w:rsidR="00346489" w:rsidRPr="00A0532A">
        <w:rPr>
          <w:lang w:val="ca-ES-valencia"/>
        </w:rPr>
        <w:t>molt en aquesta idea</w:t>
      </w:r>
      <w:r w:rsidR="002A6DAB" w:rsidRPr="00A0532A">
        <w:rPr>
          <w:lang w:val="ca-ES-valencia"/>
        </w:rPr>
        <w:t>. En aquest sentit, el</w:t>
      </w:r>
      <w:r w:rsidR="00346489" w:rsidRPr="00A0532A">
        <w:rPr>
          <w:lang w:val="ca-ES-valencia"/>
        </w:rPr>
        <w:t xml:space="preserve"> considerant 40 estableix el “</w:t>
      </w:r>
      <w:r w:rsidR="00346489" w:rsidRPr="00A0532A">
        <w:rPr>
          <w:b/>
          <w:bCs/>
          <w:lang w:val="ca-ES-valencia"/>
        </w:rPr>
        <w:t>principi de bona gestió financera”,</w:t>
      </w:r>
      <w:r w:rsidR="00346489" w:rsidRPr="00A0532A">
        <w:rPr>
          <w:lang w:val="ca-ES-valencia"/>
        </w:rPr>
        <w:t xml:space="preserve"> fent esment a la necessitat de previndre i corregir </w:t>
      </w:r>
      <w:r w:rsidR="002A6DAB" w:rsidRPr="00A0532A">
        <w:rPr>
          <w:lang w:val="ca-ES-valencia"/>
        </w:rPr>
        <w:t xml:space="preserve">frau fiscal, la corrupció i els conflictes d'interessos </w:t>
      </w:r>
      <w:r w:rsidR="00346489" w:rsidRPr="00A0532A">
        <w:rPr>
          <w:lang w:val="ca-ES-valencia"/>
        </w:rPr>
        <w:t>.</w:t>
      </w:r>
      <w:r w:rsidR="002A6DAB" w:rsidRPr="00A0532A">
        <w:rPr>
          <w:lang w:val="ca-ES-valencia"/>
        </w:rPr>
        <w:t xml:space="preserve"> Així, dins de</w:t>
      </w:r>
      <w:r w:rsidR="00346489" w:rsidRPr="00A0532A">
        <w:rPr>
          <w:lang w:val="ca-ES-valencia"/>
        </w:rPr>
        <w:t xml:space="preserve">  la valoració de l'eficiència del Pla de recuperació</w:t>
      </w:r>
      <w:r w:rsidR="002A6DAB" w:rsidRPr="00A0532A">
        <w:rPr>
          <w:lang w:val="ca-ES-valencia"/>
        </w:rPr>
        <w:t xml:space="preserve">, </w:t>
      </w:r>
      <w:r w:rsidR="00346489" w:rsidRPr="00A0532A">
        <w:rPr>
          <w:lang w:val="ca-ES-valencia"/>
        </w:rPr>
        <w:t>es recull expressament que es tindrà en compte en l'avaluació que faça la Comissió si els Estats membres disposen de sistemes de prevenció, detecció i correcció de la corrupció, el frau i els conflictes d'interessos en la utilització dels fons.</w:t>
      </w:r>
      <w:r w:rsidR="002A6DAB" w:rsidRPr="00A0532A">
        <w:rPr>
          <w:lang w:val="ca-ES-valencia"/>
        </w:rPr>
        <w:t xml:space="preserve"> I així s'ha recollit en l'article </w:t>
      </w:r>
      <w:r w:rsidR="00346489" w:rsidRPr="00A0532A">
        <w:rPr>
          <w:lang w:val="ca-ES-valencia"/>
        </w:rPr>
        <w:t>3</w:t>
      </w:r>
      <w:r w:rsidR="002A6DAB" w:rsidRPr="00A0532A">
        <w:rPr>
          <w:lang w:val="ca-ES-valencia"/>
        </w:rPr>
        <w:t>.</w:t>
      </w:r>
      <w:r w:rsidR="00346489" w:rsidRPr="00A0532A">
        <w:rPr>
          <w:lang w:val="ca-ES-valencia"/>
        </w:rPr>
        <w:t>2</w:t>
      </w:r>
      <w:r w:rsidR="002A6DAB" w:rsidRPr="00A0532A">
        <w:rPr>
          <w:lang w:val="ca-ES-valencia"/>
        </w:rPr>
        <w:t xml:space="preserve"> </w:t>
      </w:r>
      <w:r w:rsidR="00346489" w:rsidRPr="00A0532A">
        <w:rPr>
          <w:lang w:val="ca-ES-valencia"/>
        </w:rPr>
        <w:t>j) del RDL 36/2020, de 30 de desembre, pel qual s'aproven mesures urgents per a la modernització de l'Administració Pública i per a l'execució del Pla de Recuperació, Transformació i Resiliència</w:t>
      </w:r>
      <w:r w:rsidR="002A6DAB" w:rsidRPr="00A0532A">
        <w:rPr>
          <w:lang w:val="ca-ES-valencia"/>
        </w:rPr>
        <w:t xml:space="preserve">, que </w:t>
      </w:r>
      <w:r w:rsidR="00346489" w:rsidRPr="00A0532A">
        <w:rPr>
          <w:lang w:val="ca-ES-valencia"/>
        </w:rPr>
        <w:t>inclou com a principi de gestió la “prevenció eficaç dels conflictes d'interessos, el frau i les irregularitats”</w:t>
      </w:r>
      <w:r w:rsidR="002A6DAB" w:rsidRPr="00A0532A">
        <w:rPr>
          <w:lang w:val="ca-ES-valencia"/>
        </w:rPr>
        <w:t xml:space="preserve">. </w:t>
      </w:r>
    </w:p>
    <w:p w14:paraId="11FA036B" w14:textId="6A7FFF11" w:rsidR="00346489" w:rsidRPr="00A0532A" w:rsidRDefault="00346489" w:rsidP="00ED6BC6">
      <w:pPr>
        <w:jc w:val="both"/>
        <w:rPr>
          <w:lang w:val="ca-ES-valencia"/>
        </w:rPr>
      </w:pPr>
    </w:p>
    <w:p w14:paraId="4B691108" w14:textId="0AB503E7" w:rsidR="00836811" w:rsidRPr="00A0532A" w:rsidRDefault="00836811" w:rsidP="00836811">
      <w:pPr>
        <w:jc w:val="right"/>
        <w:rPr>
          <w:lang w:val="ca-ES-valencia"/>
        </w:rPr>
      </w:pPr>
      <w:r w:rsidRPr="00A0532A">
        <w:rPr>
          <w:lang w:val="ca-ES-valencia"/>
        </w:rPr>
        <w:t>24 de febrer de 2021</w:t>
      </w:r>
    </w:p>
    <w:sectPr w:rsidR="00836811" w:rsidRPr="00A0532A" w:rsidSect="00B41F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1B20" w14:textId="77777777" w:rsidR="00A7117D" w:rsidRDefault="00A7117D" w:rsidP="00750FE7">
      <w:r>
        <w:separator/>
      </w:r>
    </w:p>
  </w:endnote>
  <w:endnote w:type="continuationSeparator" w:id="0">
    <w:p w14:paraId="78E2C09C" w14:textId="77777777" w:rsidR="00A7117D" w:rsidRDefault="00A7117D" w:rsidP="0075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0376" w14:textId="77777777" w:rsidR="00D117D7" w:rsidRPr="00D117D7" w:rsidRDefault="00D117D7">
    <w:pPr>
      <w:tabs>
        <w:tab w:val="center" w:pos="4550"/>
        <w:tab w:val="left" w:pos="5818"/>
      </w:tabs>
      <w:ind w:right="260"/>
      <w:jc w:val="right"/>
      <w:rPr>
        <w:i/>
        <w:iCs/>
        <w:color w:val="222A35" w:themeColor="text2" w:themeShade="80"/>
        <w:sz w:val="18"/>
        <w:szCs w:val="18"/>
      </w:rPr>
    </w:pPr>
    <w:r w:rsidRPr="00D117D7">
      <w:rPr>
        <w:i/>
        <w:iCs/>
        <w:color w:val="323E4F" w:themeColor="text2" w:themeShade="BF"/>
        <w:sz w:val="18"/>
        <w:szCs w:val="18"/>
      </w:rPr>
      <w:fldChar w:fldCharType="begin"/>
    </w:r>
    <w:r w:rsidRPr="00D117D7">
      <w:rPr>
        <w:i/>
        <w:iCs/>
        <w:color w:val="323E4F" w:themeColor="text2" w:themeShade="BF"/>
        <w:sz w:val="18"/>
        <w:szCs w:val="18"/>
      </w:rPr>
      <w:instrText>PAGE \* MERGEFORMAT</w:instrText>
    </w:r>
    <w:r w:rsidRPr="00D117D7">
      <w:rPr>
        <w:i/>
        <w:iCs/>
        <w:color w:val="323E4F" w:themeColor="text2" w:themeShade="BF"/>
        <w:sz w:val="18"/>
        <w:szCs w:val="18"/>
      </w:rPr>
      <w:fldChar w:fldCharType="separate"/>
    </w:r>
    <w:r w:rsidRPr="00D117D7">
      <w:rPr>
        <w:i/>
        <w:iCs/>
        <w:color w:val="323E4F" w:themeColor="text2" w:themeShade="BF"/>
        <w:sz w:val="18"/>
        <w:szCs w:val="18"/>
      </w:rPr>
      <w:t>1</w:t>
    </w:r>
    <w:r w:rsidRPr="00D117D7">
      <w:rPr>
        <w:i/>
        <w:iCs/>
        <w:color w:val="323E4F" w:themeColor="text2" w:themeShade="BF"/>
        <w:sz w:val="18"/>
        <w:szCs w:val="18"/>
      </w:rPr>
      <w:fldChar w:fldCharType="end"/>
    </w:r>
    <w:r w:rsidRPr="00D117D7">
      <w:rPr>
        <w:i/>
        <w:iCs/>
        <w:color w:val="323E4F" w:themeColor="text2" w:themeShade="BF"/>
        <w:sz w:val="18"/>
        <w:szCs w:val="18"/>
      </w:rPr>
      <w:t xml:space="preserve"> | </w:t>
    </w:r>
    <w:r w:rsidRPr="00D117D7">
      <w:rPr>
        <w:i/>
        <w:iCs/>
        <w:color w:val="323E4F" w:themeColor="text2" w:themeShade="BF"/>
        <w:sz w:val="18"/>
        <w:szCs w:val="18"/>
      </w:rPr>
      <w:fldChar w:fldCharType="begin"/>
    </w:r>
    <w:r w:rsidRPr="00D117D7">
      <w:rPr>
        <w:i/>
        <w:iCs/>
        <w:color w:val="323E4F" w:themeColor="text2" w:themeShade="BF"/>
        <w:sz w:val="18"/>
        <w:szCs w:val="18"/>
      </w:rPr>
      <w:instrText>NUMPAGES \* Arabic \* MERGEFORMAT</w:instrText>
    </w:r>
    <w:r w:rsidRPr="00D117D7">
      <w:rPr>
        <w:i/>
        <w:iCs/>
        <w:color w:val="323E4F" w:themeColor="text2" w:themeShade="BF"/>
        <w:sz w:val="18"/>
        <w:szCs w:val="18"/>
      </w:rPr>
      <w:fldChar w:fldCharType="separate"/>
    </w:r>
    <w:r w:rsidRPr="00D117D7">
      <w:rPr>
        <w:i/>
        <w:iCs/>
        <w:color w:val="323E4F" w:themeColor="text2" w:themeShade="BF"/>
        <w:sz w:val="18"/>
        <w:szCs w:val="18"/>
      </w:rPr>
      <w:t>1</w:t>
    </w:r>
    <w:r w:rsidRPr="00D117D7">
      <w:rPr>
        <w:i/>
        <w:iCs/>
        <w:color w:val="323E4F" w:themeColor="text2" w:themeShade="BF"/>
        <w:sz w:val="18"/>
        <w:szCs w:val="18"/>
      </w:rPr>
      <w:fldChar w:fldCharType="end"/>
    </w:r>
  </w:p>
  <w:p w14:paraId="11FA0377" w14:textId="77777777" w:rsidR="00B41F81" w:rsidRDefault="00B41F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0771" w14:textId="77777777" w:rsidR="00A7117D" w:rsidRDefault="00A7117D" w:rsidP="00750FE7">
      <w:r>
        <w:separator/>
      </w:r>
    </w:p>
  </w:footnote>
  <w:footnote w:type="continuationSeparator" w:id="0">
    <w:p w14:paraId="731CA3EE" w14:textId="77777777" w:rsidR="00A7117D" w:rsidRDefault="00A7117D" w:rsidP="0075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0375" w14:textId="77777777" w:rsidR="00750FE7" w:rsidRDefault="00750FE7" w:rsidP="00750FE7">
    <w:pPr>
      <w:pStyle w:val="Encabezado"/>
      <w:ind w:left="-851"/>
    </w:pPr>
    <w:r>
      <w:rPr>
        <w:noProof/>
      </w:rPr>
      <w:drawing>
        <wp:inline distT="0" distB="0" distL="0" distR="0" wp14:anchorId="11FA0378" wp14:editId="11FA0379">
          <wp:extent cx="1691640" cy="739140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mc:AlternateContent>
        <mc:Choice Requires="wps">
          <w:drawing>
            <wp:inline distT="0" distB="0" distL="0" distR="0" wp14:anchorId="11FA037A" wp14:editId="11FA037B">
              <wp:extent cx="2804160" cy="918210"/>
              <wp:effectExtent l="0" t="0" r="0" b="0"/>
              <wp:docPr id="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918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FA037E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  <w:p w14:paraId="11FA037F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  <w:p w14:paraId="11FA0380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  <w:p w14:paraId="11FA0381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  <w:p w14:paraId="11FA0382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  <w:r>
                            <w:rPr>
                              <w:b/>
                              <w:color w:val="C80F2E"/>
                              <w:sz w:val="16"/>
                            </w:rPr>
                            <w:t>Dirección General de Coordinación de la Acción del Gobierno</w:t>
                          </w:r>
                          <w:r>
                            <w:rPr>
                              <w:b/>
                              <w:color w:val="C80F2E"/>
                              <w:sz w:val="16"/>
                            </w:rPr>
                            <w:br/>
                          </w:r>
                        </w:p>
                        <w:p w14:paraId="11FA0383" w14:textId="77777777" w:rsidR="00750FE7" w:rsidRDefault="00750FE7" w:rsidP="00750FE7">
                          <w:pPr>
                            <w:pStyle w:val="Contenidodelmarco"/>
                            <w:rPr>
                              <w:b/>
                              <w:color w:val="C80F2E"/>
                              <w:sz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FA037A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width:220.8pt;height:7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" filled="f" stroked="f">
              <v:textbox inset="0,0,0,0">
                <w:txbxContent>
                  <w:p w14:paraId="11FA037E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  <w:p w14:paraId="11FA037F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  <w:p w14:paraId="11FA0380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  <w:p w14:paraId="11FA0381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  <w:p w14:paraId="11FA0382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  <w:r>
                      <w:rPr>
                        <w:b/>
                        <w:color w:val="C80F2E"/>
                        <w:sz w:val="16"/>
                      </w:rPr>
                      <w:t>Dirección General de Coordinación de la Acción del Gobierno</w:t>
                    </w:r>
                    <w:r>
                      <w:rPr>
                        <w:b/>
                        <w:color w:val="C80F2E"/>
                        <w:sz w:val="16"/>
                      </w:rPr>
                      <w:br/>
                    </w:r>
                  </w:p>
                  <w:p w14:paraId="11FA0383" w14:textId="77777777" w:rsidR="00750FE7" w:rsidRDefault="00750FE7" w:rsidP="00750FE7">
                    <w:pPr>
                      <w:pStyle w:val="Contenidodelmarco"/>
                      <w:rPr>
                        <w:b/>
                        <w:color w:val="C80F2E"/>
                        <w:sz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  <w:r w:rsidRPr="00750FE7">
      <w:rPr>
        <w:noProof/>
      </w:rPr>
      <w:drawing>
        <wp:inline distT="0" distB="0" distL="0" distR="0" wp14:anchorId="11FA037C" wp14:editId="11FA037D">
          <wp:extent cx="590400" cy="50040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4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E0E"/>
    <w:multiLevelType w:val="hybridMultilevel"/>
    <w:tmpl w:val="7E1C943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D5603D00">
      <w:start w:val="1"/>
      <w:numFmt w:val="bullet"/>
      <w:lvlText w:val=""/>
      <w:lvlJc w:val="left"/>
      <w:pPr>
        <w:ind w:left="1083" w:hanging="360"/>
      </w:pPr>
      <w:rPr>
        <w:rFonts w:ascii="Wingdings" w:hAnsi="Wingdings" w:hint="default"/>
        <w:color w:val="auto"/>
        <w:sz w:val="24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C4C0369"/>
    <w:multiLevelType w:val="hybridMultilevel"/>
    <w:tmpl w:val="02000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89F"/>
    <w:multiLevelType w:val="hybridMultilevel"/>
    <w:tmpl w:val="8138E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187"/>
    <w:multiLevelType w:val="hybridMultilevel"/>
    <w:tmpl w:val="ACCEFE4C"/>
    <w:lvl w:ilvl="0" w:tplc="D5603D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D13C1"/>
    <w:multiLevelType w:val="hybridMultilevel"/>
    <w:tmpl w:val="3F646B54"/>
    <w:lvl w:ilvl="0" w:tplc="F2F4263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120FF"/>
    <w:multiLevelType w:val="hybridMultilevel"/>
    <w:tmpl w:val="4C90B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6810"/>
    <w:multiLevelType w:val="hybridMultilevel"/>
    <w:tmpl w:val="B8460F02"/>
    <w:lvl w:ilvl="0" w:tplc="082241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04799"/>
    <w:multiLevelType w:val="hybridMultilevel"/>
    <w:tmpl w:val="A64C55FA"/>
    <w:lvl w:ilvl="0" w:tplc="9F122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50997"/>
    <w:multiLevelType w:val="hybridMultilevel"/>
    <w:tmpl w:val="508431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0443EF"/>
    <w:multiLevelType w:val="hybridMultilevel"/>
    <w:tmpl w:val="B3D6A654"/>
    <w:lvl w:ilvl="0" w:tplc="237CA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5095"/>
    <w:multiLevelType w:val="hybridMultilevel"/>
    <w:tmpl w:val="76DA0C94"/>
    <w:lvl w:ilvl="0" w:tplc="EDC8B3DE">
      <w:start w:val="1"/>
      <w:numFmt w:val="decimal"/>
      <w:lvlText w:val="%1."/>
      <w:lvlJc w:val="left"/>
      <w:pPr>
        <w:ind w:left="462" w:hanging="360"/>
      </w:pPr>
      <w:rPr>
        <w:rFonts w:hint="default"/>
        <w:w w:val="106"/>
        <w:lang w:val="es-ES" w:eastAsia="en-US" w:bidi="ar-SA"/>
      </w:rPr>
    </w:lvl>
    <w:lvl w:ilvl="1" w:tplc="CEF2D0CA">
      <w:numFmt w:val="bullet"/>
      <w:lvlText w:val=""/>
      <w:lvlJc w:val="left"/>
      <w:pPr>
        <w:ind w:left="822" w:hanging="360"/>
      </w:pPr>
      <w:rPr>
        <w:rFonts w:hint="default"/>
        <w:w w:val="99"/>
        <w:lang w:val="es-ES" w:eastAsia="en-US" w:bidi="ar-SA"/>
      </w:rPr>
    </w:lvl>
    <w:lvl w:ilvl="2" w:tplc="6430EE4A"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3" w:tplc="24704ACA">
      <w:numFmt w:val="bullet"/>
      <w:lvlText w:val="•"/>
      <w:lvlJc w:val="left"/>
      <w:pPr>
        <w:ind w:left="2888" w:hanging="360"/>
      </w:pPr>
      <w:rPr>
        <w:rFonts w:hint="default"/>
        <w:lang w:val="es-ES" w:eastAsia="en-US" w:bidi="ar-SA"/>
      </w:rPr>
    </w:lvl>
    <w:lvl w:ilvl="4" w:tplc="99EA414C">
      <w:numFmt w:val="bullet"/>
      <w:lvlText w:val="•"/>
      <w:lvlJc w:val="left"/>
      <w:pPr>
        <w:ind w:left="3922" w:hanging="360"/>
      </w:pPr>
      <w:rPr>
        <w:rFonts w:hint="default"/>
        <w:lang w:val="es-ES" w:eastAsia="en-US" w:bidi="ar-SA"/>
      </w:rPr>
    </w:lvl>
    <w:lvl w:ilvl="5" w:tplc="5476972A">
      <w:numFmt w:val="bullet"/>
      <w:lvlText w:val="•"/>
      <w:lvlJc w:val="left"/>
      <w:pPr>
        <w:ind w:left="4956" w:hanging="360"/>
      </w:pPr>
      <w:rPr>
        <w:rFonts w:hint="default"/>
        <w:lang w:val="es-ES" w:eastAsia="en-US" w:bidi="ar-SA"/>
      </w:rPr>
    </w:lvl>
    <w:lvl w:ilvl="6" w:tplc="C49294A6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7" w:tplc="29A27094">
      <w:numFmt w:val="bullet"/>
      <w:lvlText w:val="•"/>
      <w:lvlJc w:val="left"/>
      <w:pPr>
        <w:ind w:left="7024" w:hanging="360"/>
      </w:pPr>
      <w:rPr>
        <w:rFonts w:hint="default"/>
        <w:lang w:val="es-ES" w:eastAsia="en-US" w:bidi="ar-SA"/>
      </w:rPr>
    </w:lvl>
    <w:lvl w:ilvl="8" w:tplc="5454A4F6">
      <w:numFmt w:val="bullet"/>
      <w:lvlText w:val="•"/>
      <w:lvlJc w:val="left"/>
      <w:pPr>
        <w:ind w:left="805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B1B49EC"/>
    <w:multiLevelType w:val="hybridMultilevel"/>
    <w:tmpl w:val="523A1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62C56"/>
    <w:multiLevelType w:val="hybridMultilevel"/>
    <w:tmpl w:val="3732EC6E"/>
    <w:lvl w:ilvl="0" w:tplc="63E258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43824"/>
    <w:multiLevelType w:val="hybridMultilevel"/>
    <w:tmpl w:val="D2464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01384"/>
    <w:multiLevelType w:val="hybridMultilevel"/>
    <w:tmpl w:val="CFFEC57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72E7BA2"/>
    <w:multiLevelType w:val="hybridMultilevel"/>
    <w:tmpl w:val="74DC9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959D0"/>
    <w:multiLevelType w:val="hybridMultilevel"/>
    <w:tmpl w:val="04243354"/>
    <w:lvl w:ilvl="0" w:tplc="AC302822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FEB276F"/>
    <w:multiLevelType w:val="hybridMultilevel"/>
    <w:tmpl w:val="1D105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6"/>
  </w:num>
  <w:num w:numId="4">
    <w:abstractNumId w:val="1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E7"/>
    <w:rsid w:val="00036398"/>
    <w:rsid w:val="000377EC"/>
    <w:rsid w:val="001139B9"/>
    <w:rsid w:val="00153412"/>
    <w:rsid w:val="00156041"/>
    <w:rsid w:val="001D3309"/>
    <w:rsid w:val="002A100E"/>
    <w:rsid w:val="002A6DAB"/>
    <w:rsid w:val="002D05F6"/>
    <w:rsid w:val="00346489"/>
    <w:rsid w:val="00351606"/>
    <w:rsid w:val="0036317B"/>
    <w:rsid w:val="00382B67"/>
    <w:rsid w:val="0038477F"/>
    <w:rsid w:val="003A0E49"/>
    <w:rsid w:val="003B7563"/>
    <w:rsid w:val="003B7CB1"/>
    <w:rsid w:val="004359E1"/>
    <w:rsid w:val="00470911"/>
    <w:rsid w:val="00471F29"/>
    <w:rsid w:val="005025F6"/>
    <w:rsid w:val="00581062"/>
    <w:rsid w:val="00624AC3"/>
    <w:rsid w:val="006818BC"/>
    <w:rsid w:val="0068404A"/>
    <w:rsid w:val="006B2A16"/>
    <w:rsid w:val="006D0038"/>
    <w:rsid w:val="00727998"/>
    <w:rsid w:val="007361E2"/>
    <w:rsid w:val="00741B19"/>
    <w:rsid w:val="00750FE7"/>
    <w:rsid w:val="00796391"/>
    <w:rsid w:val="00836811"/>
    <w:rsid w:val="00880BA1"/>
    <w:rsid w:val="008976E3"/>
    <w:rsid w:val="008E095C"/>
    <w:rsid w:val="008F1F09"/>
    <w:rsid w:val="008F25D3"/>
    <w:rsid w:val="009451D4"/>
    <w:rsid w:val="00945549"/>
    <w:rsid w:val="00981719"/>
    <w:rsid w:val="00A0532A"/>
    <w:rsid w:val="00A7117D"/>
    <w:rsid w:val="00AC6C58"/>
    <w:rsid w:val="00B41F81"/>
    <w:rsid w:val="00BF6299"/>
    <w:rsid w:val="00C363FB"/>
    <w:rsid w:val="00C378D6"/>
    <w:rsid w:val="00CB44C0"/>
    <w:rsid w:val="00CE0A24"/>
    <w:rsid w:val="00D117D7"/>
    <w:rsid w:val="00D54F5D"/>
    <w:rsid w:val="00E35080"/>
    <w:rsid w:val="00E7065C"/>
    <w:rsid w:val="00EB35A1"/>
    <w:rsid w:val="00ED6BC6"/>
    <w:rsid w:val="00F105AE"/>
    <w:rsid w:val="00F256E2"/>
    <w:rsid w:val="00F37E65"/>
    <w:rsid w:val="00F64F13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A0350"/>
  <w15:chartTrackingRefBased/>
  <w15:docId w15:val="{DB1A8D43-7295-4B4D-96C6-FD226ED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D7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818B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6811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FE7"/>
  </w:style>
  <w:style w:type="paragraph" w:styleId="Piedepgina">
    <w:name w:val="footer"/>
    <w:basedOn w:val="Normal"/>
    <w:link w:val="PiedepginaCar"/>
    <w:uiPriority w:val="99"/>
    <w:unhideWhenUsed/>
    <w:rsid w:val="00750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FE7"/>
  </w:style>
  <w:style w:type="paragraph" w:customStyle="1" w:styleId="Contenidodelmarco">
    <w:name w:val="Contenido del marco"/>
    <w:basedOn w:val="Normal"/>
    <w:qFormat/>
    <w:rsid w:val="00750FE7"/>
    <w:pPr>
      <w:suppressAutoHyphens/>
      <w:textAlignment w:val="baseline"/>
    </w:pPr>
    <w:rPr>
      <w:rFonts w:ascii="Roboto" w:eastAsia="Roboto" w:hAnsi="Roboto" w:cs="Roboto"/>
      <w:kern w:val="2"/>
      <w:szCs w:val="24"/>
      <w:lang w:eastAsia="zh-CN" w:bidi="hi-IN"/>
    </w:rPr>
  </w:style>
  <w:style w:type="paragraph" w:styleId="Prrafodelista">
    <w:name w:val="List Paragraph"/>
    <w:basedOn w:val="Normal"/>
    <w:uiPriority w:val="1"/>
    <w:qFormat/>
    <w:rsid w:val="00D117D7"/>
    <w:pPr>
      <w:ind w:left="720"/>
    </w:pPr>
  </w:style>
  <w:style w:type="paragraph" w:styleId="Textoindependiente">
    <w:name w:val="Body Text"/>
    <w:basedOn w:val="Normal"/>
    <w:link w:val="TextoindependienteCar"/>
    <w:uiPriority w:val="99"/>
    <w:unhideWhenUsed/>
    <w:rsid w:val="007361E2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61E2"/>
    <w:rPr>
      <w:rFonts w:ascii="Calibri" w:hAnsi="Calibri" w:cs="Calibri"/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361E2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361E2"/>
    <w:rPr>
      <w:rFonts w:ascii="Calibri" w:hAnsi="Calibri" w:cs="Calibri"/>
    </w:rPr>
  </w:style>
  <w:style w:type="paragraph" w:customStyle="1" w:styleId="paragraph">
    <w:name w:val="paragraph"/>
    <w:basedOn w:val="Normal"/>
    <w:rsid w:val="008F1F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F1F09"/>
  </w:style>
  <w:style w:type="character" w:customStyle="1" w:styleId="Ttulo1Car">
    <w:name w:val="Título 1 Car"/>
    <w:basedOn w:val="Fuentedeprrafopredeter"/>
    <w:link w:val="Ttulo1"/>
    <w:uiPriority w:val="9"/>
    <w:rsid w:val="006818BC"/>
    <w:rPr>
      <w:rFonts w:ascii="Calibri" w:hAnsi="Calibri" w:cs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34648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4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4C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36811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BELTRÁN, Mª DOLORES</dc:creator>
  <cp:keywords/>
  <dc:description/>
  <cp:lastModifiedBy>DELGADO DE LAS MARINAS, JULIÁN</cp:lastModifiedBy>
  <cp:revision>2</cp:revision>
  <cp:lastPrinted>2021-02-23T13:21:00Z</cp:lastPrinted>
  <dcterms:created xsi:type="dcterms:W3CDTF">2021-06-25T09:29:00Z</dcterms:created>
  <dcterms:modified xsi:type="dcterms:W3CDTF">2021-06-25T09:29:00Z</dcterms:modified>
</cp:coreProperties>
</file>